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2.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drawings/drawing3.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drawings/drawing4.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76" w:rsidRPr="003561CE" w:rsidRDefault="007F3176" w:rsidP="007F3176">
      <w:pPr>
        <w:spacing w:after="0"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14:anchorId="2F1B2EDF" wp14:editId="40E1FD2C">
            <wp:simplePos x="0" y="0"/>
            <wp:positionH relativeFrom="column">
              <wp:posOffset>2743200</wp:posOffset>
            </wp:positionH>
            <wp:positionV relativeFrom="paragraph">
              <wp:posOffset>-114300</wp:posOffset>
            </wp:positionV>
            <wp:extent cx="410210" cy="511810"/>
            <wp:effectExtent l="0" t="0" r="8890" b="2540"/>
            <wp:wrapNone/>
            <wp:docPr id="26" name="Рисунок 26"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1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176" w:rsidRPr="003561CE" w:rsidRDefault="007F3176" w:rsidP="007F3176">
      <w:pPr>
        <w:spacing w:after="0" w:line="240" w:lineRule="auto"/>
        <w:jc w:val="center"/>
        <w:rPr>
          <w:rFonts w:ascii="Times New Roman" w:hAnsi="Times New Roman"/>
          <w:b/>
          <w:sz w:val="28"/>
          <w:szCs w:val="28"/>
        </w:rPr>
      </w:pPr>
    </w:p>
    <w:p w:rsidR="007F3176" w:rsidRPr="003561CE" w:rsidRDefault="007F3176" w:rsidP="007F3176">
      <w:pPr>
        <w:spacing w:after="0" w:line="240" w:lineRule="auto"/>
        <w:jc w:val="center"/>
        <w:rPr>
          <w:rFonts w:ascii="Times New Roman" w:hAnsi="Times New Roman"/>
          <w:b/>
          <w:sz w:val="28"/>
          <w:szCs w:val="28"/>
        </w:rPr>
      </w:pPr>
    </w:p>
    <w:p w:rsidR="007F3176" w:rsidRPr="003561CE" w:rsidRDefault="007F3176" w:rsidP="007F3176">
      <w:pPr>
        <w:pBdr>
          <w:bottom w:val="single" w:sz="4" w:space="1" w:color="0000FF"/>
        </w:pBdr>
        <w:spacing w:after="0" w:line="240" w:lineRule="auto"/>
        <w:jc w:val="center"/>
        <w:rPr>
          <w:rFonts w:ascii="Times New Roman" w:hAnsi="Times New Roman"/>
          <w:b/>
          <w:color w:val="0000FF"/>
          <w:sz w:val="28"/>
          <w:szCs w:val="28"/>
        </w:rPr>
      </w:pPr>
      <w:r w:rsidRPr="003561CE">
        <w:rPr>
          <w:rFonts w:ascii="Times New Roman" w:hAnsi="Times New Roman"/>
          <w:b/>
          <w:color w:val="0000FF"/>
          <w:sz w:val="28"/>
          <w:szCs w:val="28"/>
        </w:rPr>
        <w:t>КОНТРОЛЬНО-СЧЕТНАЯ ПАЛАТА АМУРСКОЙ ОБЛАСТИ</w:t>
      </w:r>
    </w:p>
    <w:p w:rsidR="007F3176" w:rsidRPr="003561CE" w:rsidRDefault="007F3176" w:rsidP="007F3176">
      <w:pPr>
        <w:spacing w:after="0" w:line="240" w:lineRule="auto"/>
        <w:jc w:val="center"/>
        <w:rPr>
          <w:rFonts w:ascii="Times New Roman" w:hAnsi="Times New Roman"/>
          <w:color w:val="0000FF"/>
          <w:sz w:val="20"/>
          <w:szCs w:val="28"/>
        </w:rPr>
      </w:pPr>
      <w:r w:rsidRPr="003561CE">
        <w:rPr>
          <w:rFonts w:ascii="Times New Roman" w:hAnsi="Times New Roman"/>
          <w:color w:val="0000FF"/>
          <w:sz w:val="20"/>
          <w:szCs w:val="28"/>
        </w:rPr>
        <w:t xml:space="preserve">ул. Ленина, </w:t>
      </w:r>
      <w:smartTag w:uri="urn:schemas-microsoft-com:office:smarttags" w:element="metricconverter">
        <w:smartTagPr>
          <w:attr w:name="ProductID" w:val="135, г"/>
        </w:smartTagPr>
        <w:r w:rsidRPr="003561CE">
          <w:rPr>
            <w:rFonts w:ascii="Times New Roman" w:hAnsi="Times New Roman"/>
            <w:color w:val="0000FF"/>
            <w:sz w:val="20"/>
            <w:szCs w:val="28"/>
          </w:rPr>
          <w:t>135, г</w:t>
        </w:r>
      </w:smartTag>
      <w:r w:rsidRPr="003561CE">
        <w:rPr>
          <w:rFonts w:ascii="Times New Roman" w:hAnsi="Times New Roman"/>
          <w:color w:val="0000FF"/>
          <w:sz w:val="20"/>
          <w:szCs w:val="28"/>
        </w:rPr>
        <w:t>. Благовещенск, Амурской обл., 675023,  тел./факс (4162) 22-44-70, 22-44-86,</w:t>
      </w:r>
    </w:p>
    <w:p w:rsidR="007F3176" w:rsidRPr="003561CE" w:rsidRDefault="007F3176" w:rsidP="007F3176">
      <w:pPr>
        <w:spacing w:after="0" w:line="240" w:lineRule="auto"/>
        <w:jc w:val="center"/>
        <w:rPr>
          <w:rFonts w:ascii="Times New Roman" w:hAnsi="Times New Roman"/>
          <w:color w:val="0000FF"/>
          <w:sz w:val="28"/>
          <w:szCs w:val="28"/>
          <w:u w:val="single"/>
          <w:lang w:val="en-US"/>
        </w:rPr>
      </w:pPr>
      <w:r w:rsidRPr="003561CE">
        <w:rPr>
          <w:rFonts w:ascii="Times New Roman" w:hAnsi="Times New Roman"/>
          <w:color w:val="0000FF"/>
          <w:sz w:val="20"/>
          <w:szCs w:val="28"/>
        </w:rPr>
        <w:t xml:space="preserve"> </w:t>
      </w:r>
      <w:r w:rsidRPr="003561CE">
        <w:rPr>
          <w:rFonts w:ascii="Times New Roman" w:hAnsi="Times New Roman"/>
          <w:color w:val="0000FF"/>
          <w:sz w:val="20"/>
          <w:szCs w:val="28"/>
          <w:lang w:val="en-US"/>
        </w:rPr>
        <w:t xml:space="preserve">E-mail: </w:t>
      </w:r>
      <w:r w:rsidR="000D429A">
        <w:fldChar w:fldCharType="begin"/>
      </w:r>
      <w:r w:rsidR="000D429A" w:rsidRPr="000D429A">
        <w:rPr>
          <w:lang w:val="en-US"/>
        </w:rPr>
        <w:instrText xml:space="preserve"> HYPERLINK "mailto:kspamur@tsl.ru" </w:instrText>
      </w:r>
      <w:r w:rsidR="000D429A">
        <w:fldChar w:fldCharType="separate"/>
      </w:r>
      <w:r w:rsidRPr="003561CE">
        <w:rPr>
          <w:rStyle w:val="a5"/>
          <w:rFonts w:ascii="Times New Roman" w:hAnsi="Times New Roman"/>
          <w:sz w:val="20"/>
          <w:szCs w:val="28"/>
          <w:lang w:val="en-US"/>
        </w:rPr>
        <w:t>kspamur@tsl.ru</w:t>
      </w:r>
      <w:r w:rsidR="000D429A">
        <w:rPr>
          <w:rStyle w:val="a5"/>
          <w:rFonts w:ascii="Times New Roman" w:hAnsi="Times New Roman"/>
          <w:sz w:val="20"/>
          <w:szCs w:val="28"/>
          <w:lang w:val="en-US"/>
        </w:rPr>
        <w:fldChar w:fldCharType="end"/>
      </w:r>
    </w:p>
    <w:p w:rsidR="007F3176" w:rsidRPr="007E5582" w:rsidRDefault="007F3176" w:rsidP="007F3176">
      <w:pPr>
        <w:spacing w:after="0" w:line="240" w:lineRule="auto"/>
        <w:jc w:val="center"/>
        <w:rPr>
          <w:rFonts w:ascii="Times New Roman" w:hAnsi="Times New Roman"/>
          <w:sz w:val="28"/>
          <w:szCs w:val="28"/>
          <w:u w:val="single"/>
          <w:lang w:val="en-US"/>
        </w:rPr>
      </w:pPr>
    </w:p>
    <w:p w:rsidR="007F3176" w:rsidRPr="00AF28A8" w:rsidRDefault="007F3176" w:rsidP="007F3176">
      <w:pPr>
        <w:spacing w:after="0" w:line="240" w:lineRule="auto"/>
        <w:jc w:val="center"/>
        <w:rPr>
          <w:rFonts w:ascii="Times New Roman" w:hAnsi="Times New Roman"/>
          <w:b/>
          <w:sz w:val="28"/>
          <w:szCs w:val="28"/>
          <w:lang w:val="en-US"/>
        </w:rPr>
      </w:pPr>
      <w:r w:rsidRPr="00AF28A8">
        <w:rPr>
          <w:rFonts w:ascii="Times New Roman" w:hAnsi="Times New Roman"/>
          <w:b/>
          <w:sz w:val="28"/>
          <w:szCs w:val="28"/>
        </w:rPr>
        <w:t>ЗАКЛЮЧЕНИЕ</w:t>
      </w:r>
    </w:p>
    <w:p w:rsidR="007F3176" w:rsidRPr="00AF28A8" w:rsidRDefault="007F3176" w:rsidP="007F3176">
      <w:pPr>
        <w:spacing w:after="0" w:line="240" w:lineRule="auto"/>
        <w:jc w:val="center"/>
        <w:rPr>
          <w:rFonts w:ascii="Times New Roman" w:hAnsi="Times New Roman"/>
          <w:b/>
          <w:sz w:val="28"/>
          <w:szCs w:val="28"/>
        </w:rPr>
      </w:pPr>
      <w:r w:rsidRPr="00AF28A8">
        <w:rPr>
          <w:rFonts w:ascii="Times New Roman" w:hAnsi="Times New Roman"/>
          <w:b/>
          <w:sz w:val="28"/>
          <w:szCs w:val="28"/>
        </w:rPr>
        <w:t>на проект закона Амурской области «Об областном бюджете на 201</w:t>
      </w:r>
      <w:r>
        <w:rPr>
          <w:rFonts w:ascii="Times New Roman" w:hAnsi="Times New Roman"/>
          <w:b/>
          <w:sz w:val="28"/>
          <w:szCs w:val="28"/>
        </w:rPr>
        <w:t>5</w:t>
      </w:r>
      <w:r w:rsidRPr="00AF28A8">
        <w:rPr>
          <w:rFonts w:ascii="Times New Roman" w:hAnsi="Times New Roman"/>
          <w:b/>
          <w:sz w:val="28"/>
          <w:szCs w:val="28"/>
        </w:rPr>
        <w:t xml:space="preserve"> год и плановый период 201</w:t>
      </w:r>
      <w:r>
        <w:rPr>
          <w:rFonts w:ascii="Times New Roman" w:hAnsi="Times New Roman"/>
          <w:b/>
          <w:sz w:val="28"/>
          <w:szCs w:val="28"/>
        </w:rPr>
        <w:t>6</w:t>
      </w:r>
      <w:r w:rsidRPr="00AF28A8">
        <w:rPr>
          <w:rFonts w:ascii="Times New Roman" w:hAnsi="Times New Roman"/>
          <w:b/>
          <w:sz w:val="28"/>
          <w:szCs w:val="28"/>
        </w:rPr>
        <w:t xml:space="preserve"> и 201</w:t>
      </w:r>
      <w:r>
        <w:rPr>
          <w:rFonts w:ascii="Times New Roman" w:hAnsi="Times New Roman"/>
          <w:b/>
          <w:sz w:val="28"/>
          <w:szCs w:val="28"/>
        </w:rPr>
        <w:t>7</w:t>
      </w:r>
      <w:r w:rsidRPr="00AF28A8">
        <w:rPr>
          <w:rFonts w:ascii="Times New Roman" w:hAnsi="Times New Roman"/>
          <w:b/>
          <w:sz w:val="28"/>
          <w:szCs w:val="28"/>
        </w:rPr>
        <w:t xml:space="preserve"> годов» </w:t>
      </w:r>
    </w:p>
    <w:p w:rsidR="007F3176" w:rsidRPr="00AF28A8" w:rsidRDefault="007F3176" w:rsidP="007F3176">
      <w:pPr>
        <w:spacing w:after="0" w:line="240" w:lineRule="auto"/>
        <w:jc w:val="center"/>
        <w:rPr>
          <w:rFonts w:ascii="Times New Roman" w:hAnsi="Times New Roman"/>
          <w:b/>
          <w:sz w:val="28"/>
          <w:szCs w:val="28"/>
        </w:rPr>
      </w:pPr>
      <w:r w:rsidRPr="00AF28A8">
        <w:rPr>
          <w:rFonts w:ascii="Times New Roman" w:hAnsi="Times New Roman"/>
          <w:b/>
          <w:sz w:val="28"/>
          <w:szCs w:val="28"/>
        </w:rPr>
        <w:t>(первое чтение)</w:t>
      </w:r>
    </w:p>
    <w:p w:rsidR="007F3176" w:rsidRPr="00AF28A8" w:rsidRDefault="007F3176" w:rsidP="007F3176">
      <w:pPr>
        <w:spacing w:after="0" w:line="240" w:lineRule="auto"/>
        <w:jc w:val="center"/>
        <w:rPr>
          <w:rFonts w:ascii="Times New Roman" w:hAnsi="Times New Roman"/>
          <w:b/>
          <w:sz w:val="28"/>
          <w:szCs w:val="28"/>
        </w:rPr>
      </w:pPr>
    </w:p>
    <w:p w:rsidR="007F3176" w:rsidRPr="00AF28A8" w:rsidRDefault="007F3176" w:rsidP="007F3176">
      <w:pPr>
        <w:widowControl w:val="0"/>
        <w:spacing w:after="0" w:line="240" w:lineRule="auto"/>
        <w:ind w:firstLine="709"/>
        <w:jc w:val="both"/>
        <w:rPr>
          <w:rFonts w:ascii="Times New Roman" w:hAnsi="Times New Roman"/>
          <w:sz w:val="24"/>
          <w:szCs w:val="24"/>
        </w:rPr>
      </w:pPr>
      <w:r w:rsidRPr="00AF28A8">
        <w:rPr>
          <w:rFonts w:ascii="Times New Roman" w:hAnsi="Times New Roman"/>
          <w:sz w:val="24"/>
          <w:szCs w:val="24"/>
        </w:rPr>
        <w:t>Заключение контрольно-счетной палаты Амурской области на проект закона Амурской области «Об областном бюджете на 201</w:t>
      </w:r>
      <w:r>
        <w:rPr>
          <w:rFonts w:ascii="Times New Roman" w:hAnsi="Times New Roman"/>
          <w:sz w:val="24"/>
          <w:szCs w:val="24"/>
        </w:rPr>
        <w:t>5</w:t>
      </w:r>
      <w:r w:rsidRPr="00AF28A8">
        <w:rPr>
          <w:rFonts w:ascii="Times New Roman" w:hAnsi="Times New Roman"/>
          <w:sz w:val="24"/>
          <w:szCs w:val="24"/>
        </w:rPr>
        <w:t xml:space="preserve"> год и плановый период </w:t>
      </w:r>
      <w:r w:rsidRPr="00AF28A8">
        <w:rPr>
          <w:rFonts w:ascii="Times New Roman" w:hAnsi="Times New Roman"/>
          <w:sz w:val="24"/>
          <w:szCs w:val="24"/>
        </w:rPr>
        <w:br/>
        <w:t>201</w:t>
      </w:r>
      <w:r>
        <w:rPr>
          <w:rFonts w:ascii="Times New Roman" w:hAnsi="Times New Roman"/>
          <w:sz w:val="24"/>
          <w:szCs w:val="24"/>
        </w:rPr>
        <w:t>6</w:t>
      </w:r>
      <w:r w:rsidRPr="00AF28A8">
        <w:rPr>
          <w:rFonts w:ascii="Times New Roman" w:hAnsi="Times New Roman"/>
          <w:sz w:val="24"/>
          <w:szCs w:val="24"/>
        </w:rPr>
        <w:t xml:space="preserve"> и 201</w:t>
      </w:r>
      <w:r>
        <w:rPr>
          <w:rFonts w:ascii="Times New Roman" w:hAnsi="Times New Roman"/>
          <w:sz w:val="24"/>
          <w:szCs w:val="24"/>
        </w:rPr>
        <w:t>7</w:t>
      </w:r>
      <w:r w:rsidRPr="00AF28A8">
        <w:rPr>
          <w:rFonts w:ascii="Times New Roman" w:hAnsi="Times New Roman"/>
          <w:sz w:val="24"/>
          <w:szCs w:val="24"/>
        </w:rPr>
        <w:t xml:space="preserve"> годов» (далее – Заключение) подготовлено в соответствии с Бюджетным кодексом Российской Федерации, Законом Амурской области «О бюджетном процессе в Амурской области», Законом Амурской области «О контрольно-счетной палате Амурской области», иными актами законодательства Российской Федерации и Амурской области.</w:t>
      </w:r>
    </w:p>
    <w:p w:rsidR="007F3176" w:rsidRPr="00AF28A8" w:rsidRDefault="007F3176" w:rsidP="007F3176">
      <w:pPr>
        <w:spacing w:after="0" w:line="240" w:lineRule="auto"/>
        <w:ind w:firstLine="709"/>
        <w:jc w:val="both"/>
        <w:rPr>
          <w:rFonts w:ascii="Times New Roman" w:hAnsi="Times New Roman"/>
          <w:bCs/>
          <w:sz w:val="24"/>
          <w:szCs w:val="24"/>
        </w:rPr>
      </w:pPr>
      <w:r w:rsidRPr="00AF28A8">
        <w:rPr>
          <w:rFonts w:ascii="Times New Roman" w:hAnsi="Times New Roman"/>
          <w:bCs/>
          <w:sz w:val="24"/>
          <w:szCs w:val="24"/>
        </w:rPr>
        <w:t>Заключение основывается на проведенном анализе показателей прогноза социально-экономического развития Амурской области на 201</w:t>
      </w:r>
      <w:r>
        <w:rPr>
          <w:rFonts w:ascii="Times New Roman" w:hAnsi="Times New Roman"/>
          <w:bCs/>
          <w:sz w:val="24"/>
          <w:szCs w:val="24"/>
        </w:rPr>
        <w:t>5</w:t>
      </w:r>
      <w:r w:rsidRPr="00AF28A8">
        <w:rPr>
          <w:rFonts w:ascii="Times New Roman" w:hAnsi="Times New Roman"/>
          <w:bCs/>
          <w:sz w:val="24"/>
          <w:szCs w:val="24"/>
        </w:rPr>
        <w:t xml:space="preserve"> год и на период до 201</w:t>
      </w:r>
      <w:r>
        <w:rPr>
          <w:rFonts w:ascii="Times New Roman" w:hAnsi="Times New Roman"/>
          <w:bCs/>
          <w:sz w:val="24"/>
          <w:szCs w:val="24"/>
        </w:rPr>
        <w:t>7</w:t>
      </w:r>
      <w:r w:rsidRPr="00AF28A8">
        <w:rPr>
          <w:rFonts w:ascii="Times New Roman" w:hAnsi="Times New Roman"/>
          <w:bCs/>
          <w:sz w:val="24"/>
          <w:szCs w:val="24"/>
        </w:rPr>
        <w:t xml:space="preserve"> года, предварительных итогов социально-экономического развития области за январь-август </w:t>
      </w:r>
      <w:r w:rsidRPr="00AF28A8">
        <w:rPr>
          <w:rFonts w:ascii="Times New Roman" w:hAnsi="Times New Roman"/>
          <w:bCs/>
          <w:sz w:val="24"/>
          <w:szCs w:val="24"/>
        </w:rPr>
        <w:br/>
        <w:t>201</w:t>
      </w:r>
      <w:r>
        <w:rPr>
          <w:rFonts w:ascii="Times New Roman" w:hAnsi="Times New Roman"/>
          <w:bCs/>
          <w:sz w:val="24"/>
          <w:szCs w:val="24"/>
        </w:rPr>
        <w:t>4</w:t>
      </w:r>
      <w:r w:rsidRPr="00AF28A8">
        <w:rPr>
          <w:rFonts w:ascii="Times New Roman" w:hAnsi="Times New Roman"/>
          <w:bCs/>
          <w:sz w:val="24"/>
          <w:szCs w:val="24"/>
        </w:rPr>
        <w:t xml:space="preserve"> года и ожидаемых итогов социально-экономического развития области за 201</w:t>
      </w:r>
      <w:r>
        <w:rPr>
          <w:rFonts w:ascii="Times New Roman" w:hAnsi="Times New Roman"/>
          <w:bCs/>
          <w:sz w:val="24"/>
          <w:szCs w:val="24"/>
        </w:rPr>
        <w:t>4</w:t>
      </w:r>
      <w:r w:rsidRPr="00AF28A8">
        <w:rPr>
          <w:rFonts w:ascii="Times New Roman" w:hAnsi="Times New Roman"/>
          <w:bCs/>
          <w:sz w:val="24"/>
          <w:szCs w:val="24"/>
        </w:rPr>
        <w:t xml:space="preserve"> год, основных направлений бюджетной и налоговой политики в 201</w:t>
      </w:r>
      <w:r>
        <w:rPr>
          <w:rFonts w:ascii="Times New Roman" w:hAnsi="Times New Roman"/>
          <w:bCs/>
          <w:sz w:val="24"/>
          <w:szCs w:val="24"/>
        </w:rPr>
        <w:t>5</w:t>
      </w:r>
      <w:r w:rsidRPr="00AF28A8">
        <w:rPr>
          <w:rFonts w:ascii="Times New Roman" w:hAnsi="Times New Roman"/>
          <w:bCs/>
          <w:sz w:val="24"/>
          <w:szCs w:val="24"/>
        </w:rPr>
        <w:t>-201</w:t>
      </w:r>
      <w:r>
        <w:rPr>
          <w:rFonts w:ascii="Times New Roman" w:hAnsi="Times New Roman"/>
          <w:bCs/>
          <w:sz w:val="24"/>
          <w:szCs w:val="24"/>
        </w:rPr>
        <w:t>7</w:t>
      </w:r>
      <w:r w:rsidRPr="00AF28A8">
        <w:rPr>
          <w:rFonts w:ascii="Times New Roman" w:hAnsi="Times New Roman"/>
          <w:bCs/>
          <w:sz w:val="24"/>
          <w:szCs w:val="24"/>
        </w:rPr>
        <w:t xml:space="preserve"> годах, материалов, представленных губернатором Амурской области в Законодательное Собрание Амурской области с проектом Закона Амурской области «Об областном бюджете </w:t>
      </w:r>
      <w:r w:rsidRPr="00AF28A8">
        <w:rPr>
          <w:rFonts w:ascii="Times New Roman" w:hAnsi="Times New Roman"/>
          <w:bCs/>
          <w:sz w:val="24"/>
          <w:szCs w:val="24"/>
        </w:rPr>
        <w:br/>
        <w:t>на 201</w:t>
      </w:r>
      <w:r>
        <w:rPr>
          <w:rFonts w:ascii="Times New Roman" w:hAnsi="Times New Roman"/>
          <w:bCs/>
          <w:sz w:val="24"/>
          <w:szCs w:val="24"/>
        </w:rPr>
        <w:t>5</w:t>
      </w:r>
      <w:r w:rsidRPr="00AF28A8">
        <w:rPr>
          <w:rFonts w:ascii="Times New Roman" w:hAnsi="Times New Roman"/>
          <w:bCs/>
          <w:sz w:val="24"/>
          <w:szCs w:val="24"/>
        </w:rPr>
        <w:t xml:space="preserve"> год</w:t>
      </w:r>
      <w:r w:rsidRPr="00AF28A8">
        <w:rPr>
          <w:rFonts w:ascii="Times New Roman" w:hAnsi="Times New Roman"/>
          <w:sz w:val="24"/>
          <w:szCs w:val="24"/>
        </w:rPr>
        <w:t xml:space="preserve"> и плановый период 201</w:t>
      </w:r>
      <w:r>
        <w:rPr>
          <w:rFonts w:ascii="Times New Roman" w:hAnsi="Times New Roman"/>
          <w:sz w:val="24"/>
          <w:szCs w:val="24"/>
        </w:rPr>
        <w:t>6</w:t>
      </w:r>
      <w:r w:rsidRPr="00AF28A8">
        <w:rPr>
          <w:rFonts w:ascii="Times New Roman" w:hAnsi="Times New Roman"/>
          <w:sz w:val="24"/>
          <w:szCs w:val="24"/>
        </w:rPr>
        <w:t xml:space="preserve"> и 201</w:t>
      </w:r>
      <w:r>
        <w:rPr>
          <w:rFonts w:ascii="Times New Roman" w:hAnsi="Times New Roman"/>
          <w:sz w:val="24"/>
          <w:szCs w:val="24"/>
        </w:rPr>
        <w:t>7</w:t>
      </w:r>
      <w:r w:rsidRPr="00AF28A8">
        <w:rPr>
          <w:rFonts w:ascii="Times New Roman" w:hAnsi="Times New Roman"/>
          <w:sz w:val="24"/>
          <w:szCs w:val="24"/>
        </w:rPr>
        <w:t xml:space="preserve"> годов</w:t>
      </w:r>
      <w:r w:rsidRPr="00AF28A8">
        <w:rPr>
          <w:rFonts w:ascii="Times New Roman" w:hAnsi="Times New Roman"/>
          <w:bCs/>
          <w:sz w:val="24"/>
          <w:szCs w:val="24"/>
        </w:rPr>
        <w:t>», итогов исполнения областного бюджета за 9 месяцев 201</w:t>
      </w:r>
      <w:r>
        <w:rPr>
          <w:rFonts w:ascii="Times New Roman" w:hAnsi="Times New Roman"/>
          <w:bCs/>
          <w:sz w:val="24"/>
          <w:szCs w:val="24"/>
        </w:rPr>
        <w:t>4</w:t>
      </w:r>
      <w:r w:rsidRPr="00AF28A8">
        <w:rPr>
          <w:rFonts w:ascii="Times New Roman" w:hAnsi="Times New Roman"/>
          <w:bCs/>
          <w:sz w:val="24"/>
          <w:szCs w:val="24"/>
        </w:rPr>
        <w:t xml:space="preserve"> года. При подготовке Заключения проанализированы основные направления расходов областного бюджета в 201</w:t>
      </w:r>
      <w:r>
        <w:rPr>
          <w:rFonts w:ascii="Times New Roman" w:hAnsi="Times New Roman"/>
          <w:bCs/>
          <w:sz w:val="24"/>
          <w:szCs w:val="24"/>
        </w:rPr>
        <w:t>5</w:t>
      </w:r>
      <w:r w:rsidRPr="00AF28A8">
        <w:rPr>
          <w:rFonts w:ascii="Times New Roman" w:hAnsi="Times New Roman"/>
          <w:bCs/>
          <w:sz w:val="24"/>
          <w:szCs w:val="24"/>
        </w:rPr>
        <w:t xml:space="preserve"> году</w:t>
      </w:r>
      <w:r w:rsidRPr="00AF28A8">
        <w:rPr>
          <w:rFonts w:ascii="Times New Roman" w:hAnsi="Times New Roman"/>
          <w:sz w:val="24"/>
          <w:szCs w:val="24"/>
        </w:rPr>
        <w:t xml:space="preserve"> и плановом периоде </w:t>
      </w:r>
      <w:r w:rsidRPr="00AF28A8">
        <w:rPr>
          <w:rFonts w:ascii="Times New Roman" w:hAnsi="Times New Roman"/>
          <w:sz w:val="24"/>
          <w:szCs w:val="24"/>
        </w:rPr>
        <w:br/>
        <w:t>201</w:t>
      </w:r>
      <w:r>
        <w:rPr>
          <w:rFonts w:ascii="Times New Roman" w:hAnsi="Times New Roman"/>
          <w:sz w:val="24"/>
          <w:szCs w:val="24"/>
        </w:rPr>
        <w:t>6</w:t>
      </w:r>
      <w:r w:rsidRPr="00AF28A8">
        <w:rPr>
          <w:rFonts w:ascii="Times New Roman" w:hAnsi="Times New Roman"/>
          <w:sz w:val="24"/>
          <w:szCs w:val="24"/>
        </w:rPr>
        <w:t xml:space="preserve"> и 201</w:t>
      </w:r>
      <w:r>
        <w:rPr>
          <w:rFonts w:ascii="Times New Roman" w:hAnsi="Times New Roman"/>
          <w:sz w:val="24"/>
          <w:szCs w:val="24"/>
        </w:rPr>
        <w:t>7</w:t>
      </w:r>
      <w:r w:rsidRPr="00AF28A8">
        <w:rPr>
          <w:rFonts w:ascii="Times New Roman" w:hAnsi="Times New Roman"/>
          <w:sz w:val="24"/>
          <w:szCs w:val="24"/>
        </w:rPr>
        <w:t xml:space="preserve"> годов</w:t>
      </w:r>
      <w:r w:rsidRPr="00AF28A8">
        <w:rPr>
          <w:rFonts w:ascii="Times New Roman" w:hAnsi="Times New Roman"/>
          <w:bCs/>
          <w:sz w:val="24"/>
          <w:szCs w:val="24"/>
        </w:rPr>
        <w:t>, расходы на государственную поддержку муниципальных образований Амурской области, а также показатели, формирующие доходную базу областного бюджета в 201</w:t>
      </w:r>
      <w:r w:rsidRPr="00D928AA">
        <w:rPr>
          <w:rFonts w:ascii="Times New Roman" w:hAnsi="Times New Roman"/>
          <w:bCs/>
          <w:sz w:val="24"/>
          <w:szCs w:val="24"/>
        </w:rPr>
        <w:t>5</w:t>
      </w:r>
      <w:r w:rsidRPr="00AF28A8">
        <w:rPr>
          <w:rFonts w:ascii="Times New Roman" w:hAnsi="Times New Roman"/>
          <w:bCs/>
          <w:sz w:val="24"/>
          <w:szCs w:val="24"/>
        </w:rPr>
        <w:t xml:space="preserve"> году</w:t>
      </w:r>
      <w:r w:rsidRPr="00AF28A8">
        <w:rPr>
          <w:rFonts w:ascii="Times New Roman" w:hAnsi="Times New Roman"/>
          <w:sz w:val="24"/>
          <w:szCs w:val="24"/>
        </w:rPr>
        <w:t xml:space="preserve"> и плановом периоде 201</w:t>
      </w:r>
      <w:r w:rsidRPr="00D928AA">
        <w:rPr>
          <w:rFonts w:ascii="Times New Roman" w:hAnsi="Times New Roman"/>
          <w:sz w:val="24"/>
          <w:szCs w:val="24"/>
        </w:rPr>
        <w:t>6</w:t>
      </w:r>
      <w:r w:rsidRPr="00AF28A8">
        <w:rPr>
          <w:rFonts w:ascii="Times New Roman" w:hAnsi="Times New Roman"/>
          <w:sz w:val="24"/>
          <w:szCs w:val="24"/>
        </w:rPr>
        <w:t xml:space="preserve"> и 201</w:t>
      </w:r>
      <w:r w:rsidRPr="00D928AA">
        <w:rPr>
          <w:rFonts w:ascii="Times New Roman" w:hAnsi="Times New Roman"/>
          <w:sz w:val="24"/>
          <w:szCs w:val="24"/>
        </w:rPr>
        <w:t>7</w:t>
      </w:r>
      <w:r w:rsidRPr="00AF28A8">
        <w:rPr>
          <w:rFonts w:ascii="Times New Roman" w:hAnsi="Times New Roman"/>
          <w:sz w:val="24"/>
          <w:szCs w:val="24"/>
        </w:rPr>
        <w:t xml:space="preserve"> годов</w:t>
      </w:r>
      <w:r w:rsidRPr="00AF28A8">
        <w:rPr>
          <w:rFonts w:ascii="Times New Roman" w:hAnsi="Times New Roman"/>
          <w:bCs/>
          <w:sz w:val="24"/>
          <w:szCs w:val="24"/>
        </w:rPr>
        <w:t>.</w:t>
      </w:r>
      <w:r w:rsidRPr="00D928AA">
        <w:rPr>
          <w:rFonts w:ascii="Times New Roman" w:hAnsi="Times New Roman"/>
          <w:bCs/>
          <w:sz w:val="24"/>
          <w:szCs w:val="24"/>
        </w:rPr>
        <w:t xml:space="preserve"> </w:t>
      </w:r>
      <w:r w:rsidRPr="00AF28A8">
        <w:rPr>
          <w:rFonts w:ascii="Times New Roman" w:hAnsi="Times New Roman"/>
          <w:bCs/>
          <w:sz w:val="24"/>
          <w:szCs w:val="24"/>
        </w:rPr>
        <w:t>Проведена оценка соответствия проекта областного бюджета нормам Бюджетного кодекса Российской Федерации, Налогового кодекса Российской Федерации, иных актов законодательства Российской Федерации и Амурской области по организации бюджетного процесса.</w:t>
      </w:r>
    </w:p>
    <w:p w:rsidR="007F3176" w:rsidRPr="00AF28A8" w:rsidRDefault="007F3176" w:rsidP="007F3176">
      <w:pPr>
        <w:widowControl w:val="0"/>
        <w:spacing w:after="0" w:line="240" w:lineRule="auto"/>
        <w:ind w:firstLine="709"/>
        <w:jc w:val="both"/>
        <w:rPr>
          <w:rFonts w:ascii="Times New Roman" w:hAnsi="Times New Roman"/>
          <w:sz w:val="24"/>
          <w:szCs w:val="24"/>
        </w:rPr>
      </w:pPr>
      <w:r w:rsidRPr="00AF28A8">
        <w:rPr>
          <w:rFonts w:ascii="Times New Roman" w:hAnsi="Times New Roman"/>
          <w:sz w:val="24"/>
          <w:szCs w:val="24"/>
        </w:rPr>
        <w:t>Законопроект внесен губернатором Амурской области на рассмотрение Законодательного Собрания Амурской области 25 октября 201</w:t>
      </w:r>
      <w:r>
        <w:rPr>
          <w:rFonts w:ascii="Times New Roman" w:hAnsi="Times New Roman"/>
          <w:sz w:val="24"/>
          <w:szCs w:val="24"/>
        </w:rPr>
        <w:t>4</w:t>
      </w:r>
      <w:r w:rsidRPr="00AF28A8">
        <w:rPr>
          <w:rFonts w:ascii="Times New Roman" w:hAnsi="Times New Roman"/>
          <w:sz w:val="24"/>
          <w:szCs w:val="24"/>
        </w:rPr>
        <w:t xml:space="preserve"> года, с соблюдением сроков, установленных статьей 4 Закона Амурской области от 31.08.2007 № 368-ОЗ «О бюджетном процессе в Амурской области».</w:t>
      </w:r>
    </w:p>
    <w:p w:rsidR="007F3176" w:rsidRPr="00000921" w:rsidRDefault="007F3176" w:rsidP="007F3176">
      <w:pPr>
        <w:widowControl w:val="0"/>
        <w:spacing w:after="0" w:line="240" w:lineRule="auto"/>
        <w:ind w:firstLine="709"/>
        <w:jc w:val="center"/>
        <w:rPr>
          <w:rFonts w:ascii="Times New Roman" w:hAnsi="Times New Roman"/>
          <w:b/>
          <w:sz w:val="24"/>
          <w:szCs w:val="24"/>
        </w:rPr>
      </w:pPr>
    </w:p>
    <w:p w:rsidR="007F3176" w:rsidRPr="004C2E5E" w:rsidRDefault="007F3176" w:rsidP="007F3176">
      <w:pPr>
        <w:pStyle w:val="ad"/>
        <w:widowControl w:val="0"/>
        <w:numPr>
          <w:ilvl w:val="0"/>
          <w:numId w:val="14"/>
        </w:numPr>
        <w:spacing w:after="0" w:line="240" w:lineRule="auto"/>
        <w:jc w:val="center"/>
        <w:rPr>
          <w:rFonts w:ascii="Times New Roman" w:hAnsi="Times New Roman"/>
          <w:b/>
          <w:sz w:val="24"/>
          <w:szCs w:val="24"/>
        </w:rPr>
      </w:pPr>
      <w:r w:rsidRPr="004C2E5E">
        <w:rPr>
          <w:rFonts w:ascii="Times New Roman" w:hAnsi="Times New Roman"/>
          <w:b/>
          <w:sz w:val="24"/>
          <w:szCs w:val="24"/>
        </w:rPr>
        <w:t>Прогноз социально-экономического развития Амурской области</w:t>
      </w:r>
    </w:p>
    <w:p w:rsidR="007F3176" w:rsidRPr="00986950" w:rsidRDefault="007F3176" w:rsidP="007F3176">
      <w:pPr>
        <w:widowControl w:val="0"/>
        <w:spacing w:after="0" w:line="240" w:lineRule="auto"/>
        <w:ind w:firstLine="709"/>
        <w:jc w:val="center"/>
        <w:rPr>
          <w:rFonts w:ascii="Times New Roman" w:hAnsi="Times New Roman"/>
          <w:b/>
          <w:sz w:val="24"/>
          <w:szCs w:val="24"/>
        </w:rPr>
      </w:pPr>
      <w:r w:rsidRPr="00986950">
        <w:rPr>
          <w:rFonts w:ascii="Times New Roman" w:hAnsi="Times New Roman"/>
          <w:b/>
          <w:sz w:val="24"/>
          <w:szCs w:val="24"/>
        </w:rPr>
        <w:t xml:space="preserve">на </w:t>
      </w:r>
      <w:r>
        <w:rPr>
          <w:rFonts w:ascii="Times New Roman" w:hAnsi="Times New Roman"/>
          <w:b/>
          <w:sz w:val="24"/>
          <w:szCs w:val="24"/>
        </w:rPr>
        <w:t>2015</w:t>
      </w:r>
      <w:r w:rsidRPr="00986950">
        <w:rPr>
          <w:rFonts w:ascii="Times New Roman" w:hAnsi="Times New Roman"/>
          <w:b/>
          <w:sz w:val="24"/>
          <w:szCs w:val="24"/>
        </w:rPr>
        <w:t xml:space="preserve"> год и на период до </w:t>
      </w:r>
      <w:r>
        <w:rPr>
          <w:rFonts w:ascii="Times New Roman" w:hAnsi="Times New Roman"/>
          <w:b/>
          <w:sz w:val="24"/>
          <w:szCs w:val="24"/>
        </w:rPr>
        <w:t>2017</w:t>
      </w:r>
      <w:r w:rsidRPr="00986950">
        <w:rPr>
          <w:rFonts w:ascii="Times New Roman" w:hAnsi="Times New Roman"/>
          <w:b/>
          <w:sz w:val="24"/>
          <w:szCs w:val="24"/>
        </w:rPr>
        <w:t xml:space="preserve"> года</w:t>
      </w:r>
    </w:p>
    <w:p w:rsidR="007F3176" w:rsidRPr="007C3417" w:rsidRDefault="007F3176" w:rsidP="007F3176">
      <w:pPr>
        <w:widowControl w:val="0"/>
        <w:spacing w:after="0" w:line="240" w:lineRule="auto"/>
        <w:ind w:firstLine="680"/>
        <w:jc w:val="both"/>
        <w:rPr>
          <w:rFonts w:ascii="Times New Roman" w:hAnsi="Times New Roman"/>
          <w:sz w:val="24"/>
          <w:szCs w:val="24"/>
        </w:rPr>
      </w:pPr>
      <w:r w:rsidRPr="007C3417">
        <w:rPr>
          <w:rFonts w:ascii="Times New Roman" w:hAnsi="Times New Roman"/>
          <w:sz w:val="24"/>
          <w:szCs w:val="24"/>
        </w:rPr>
        <w:t>В соответствии со ст. 184.2 Бюджетного кодекса Российской Федерации одновременно с проектом закона Амурской области «</w:t>
      </w:r>
      <w:r w:rsidRPr="006C1330">
        <w:rPr>
          <w:rFonts w:ascii="Times New Roman" w:hAnsi="Times New Roman"/>
          <w:sz w:val="24"/>
          <w:szCs w:val="24"/>
        </w:rPr>
        <w:t xml:space="preserve">Об областном бюджете на </w:t>
      </w:r>
      <w:r>
        <w:rPr>
          <w:rFonts w:ascii="Times New Roman" w:hAnsi="Times New Roman"/>
          <w:sz w:val="24"/>
          <w:szCs w:val="24"/>
        </w:rPr>
        <w:t>2015</w:t>
      </w:r>
      <w:r w:rsidRPr="006C1330">
        <w:rPr>
          <w:rFonts w:ascii="Times New Roman" w:hAnsi="Times New Roman"/>
          <w:sz w:val="24"/>
          <w:szCs w:val="24"/>
        </w:rPr>
        <w:t xml:space="preserve"> год и плановый период </w:t>
      </w:r>
      <w:r>
        <w:rPr>
          <w:rFonts w:ascii="Times New Roman" w:hAnsi="Times New Roman"/>
          <w:sz w:val="24"/>
          <w:szCs w:val="24"/>
        </w:rPr>
        <w:t>2016</w:t>
      </w:r>
      <w:r w:rsidRPr="006C1330">
        <w:rPr>
          <w:rFonts w:ascii="Times New Roman" w:hAnsi="Times New Roman"/>
          <w:sz w:val="24"/>
          <w:szCs w:val="24"/>
        </w:rPr>
        <w:t xml:space="preserve"> и </w:t>
      </w:r>
      <w:r>
        <w:rPr>
          <w:rFonts w:ascii="Times New Roman" w:hAnsi="Times New Roman"/>
          <w:sz w:val="24"/>
          <w:szCs w:val="24"/>
        </w:rPr>
        <w:t>2017</w:t>
      </w:r>
      <w:r w:rsidRPr="006C1330">
        <w:rPr>
          <w:rFonts w:ascii="Times New Roman" w:hAnsi="Times New Roman"/>
          <w:sz w:val="24"/>
          <w:szCs w:val="24"/>
        </w:rPr>
        <w:t xml:space="preserve"> годов</w:t>
      </w:r>
      <w:r w:rsidRPr="007C3417">
        <w:rPr>
          <w:rFonts w:ascii="Times New Roman" w:hAnsi="Times New Roman"/>
          <w:sz w:val="24"/>
          <w:szCs w:val="24"/>
        </w:rPr>
        <w:t xml:space="preserve">» представлен прогноз социально-экономического развития Амурской области на </w:t>
      </w:r>
      <w:r>
        <w:rPr>
          <w:rFonts w:ascii="Times New Roman" w:hAnsi="Times New Roman"/>
          <w:sz w:val="24"/>
          <w:szCs w:val="24"/>
        </w:rPr>
        <w:t>2015 год и на период до 2017</w:t>
      </w:r>
      <w:r w:rsidRPr="007C3417">
        <w:rPr>
          <w:rFonts w:ascii="Times New Roman" w:hAnsi="Times New Roman"/>
          <w:sz w:val="24"/>
          <w:szCs w:val="24"/>
        </w:rPr>
        <w:t xml:space="preserve"> года, одобренный распоряжением Правительства Амурской области от 24</w:t>
      </w:r>
      <w:r>
        <w:rPr>
          <w:rFonts w:ascii="Times New Roman" w:hAnsi="Times New Roman"/>
          <w:sz w:val="24"/>
          <w:szCs w:val="24"/>
        </w:rPr>
        <w:t>.10.2013</w:t>
      </w:r>
      <w:r w:rsidRPr="007C3417">
        <w:rPr>
          <w:rFonts w:ascii="Times New Roman" w:hAnsi="Times New Roman"/>
          <w:sz w:val="24"/>
          <w:szCs w:val="24"/>
        </w:rPr>
        <w:t xml:space="preserve"> № </w:t>
      </w:r>
      <w:r>
        <w:rPr>
          <w:rFonts w:ascii="Times New Roman" w:hAnsi="Times New Roman"/>
          <w:sz w:val="24"/>
          <w:szCs w:val="24"/>
        </w:rPr>
        <w:t>272</w:t>
      </w:r>
      <w:r w:rsidRPr="007C3417">
        <w:rPr>
          <w:rFonts w:ascii="Times New Roman" w:hAnsi="Times New Roman"/>
          <w:sz w:val="24"/>
          <w:szCs w:val="24"/>
        </w:rPr>
        <w:t>-р.</w:t>
      </w:r>
    </w:p>
    <w:p w:rsidR="007F3176" w:rsidRPr="00DC78A8" w:rsidRDefault="007F3176" w:rsidP="007F3176">
      <w:pPr>
        <w:widowControl w:val="0"/>
        <w:spacing w:after="0" w:line="240" w:lineRule="auto"/>
        <w:ind w:firstLine="680"/>
        <w:jc w:val="both"/>
        <w:rPr>
          <w:rFonts w:ascii="Times New Roman" w:hAnsi="Times New Roman"/>
          <w:sz w:val="24"/>
          <w:szCs w:val="24"/>
        </w:rPr>
      </w:pPr>
      <w:r w:rsidRPr="007C3417">
        <w:rPr>
          <w:rFonts w:ascii="Times New Roman" w:hAnsi="Times New Roman"/>
          <w:sz w:val="24"/>
          <w:szCs w:val="24"/>
        </w:rPr>
        <w:t xml:space="preserve">Прогноз социально-экономического развития Амурской области на </w:t>
      </w:r>
      <w:r>
        <w:rPr>
          <w:rFonts w:ascii="Times New Roman" w:hAnsi="Times New Roman"/>
          <w:sz w:val="24"/>
          <w:szCs w:val="24"/>
        </w:rPr>
        <w:t>2015</w:t>
      </w:r>
      <w:r w:rsidRPr="007C3417">
        <w:rPr>
          <w:rFonts w:ascii="Times New Roman" w:hAnsi="Times New Roman"/>
          <w:sz w:val="24"/>
          <w:szCs w:val="24"/>
        </w:rPr>
        <w:t xml:space="preserve"> год и на плановый период до </w:t>
      </w:r>
      <w:r>
        <w:rPr>
          <w:rFonts w:ascii="Times New Roman" w:hAnsi="Times New Roman"/>
          <w:sz w:val="24"/>
          <w:szCs w:val="24"/>
        </w:rPr>
        <w:t>2017</w:t>
      </w:r>
      <w:r w:rsidRPr="007C3417">
        <w:rPr>
          <w:rFonts w:ascii="Times New Roman" w:hAnsi="Times New Roman"/>
          <w:sz w:val="24"/>
          <w:szCs w:val="24"/>
        </w:rPr>
        <w:t xml:space="preserve"> года (далее – прогноз) представлен в двух вариа</w:t>
      </w:r>
      <w:r>
        <w:rPr>
          <w:rFonts w:ascii="Times New Roman" w:hAnsi="Times New Roman"/>
          <w:sz w:val="24"/>
          <w:szCs w:val="24"/>
        </w:rPr>
        <w:t>нтах:</w:t>
      </w:r>
      <w:r w:rsidRPr="007C3417">
        <w:rPr>
          <w:rFonts w:ascii="Times New Roman" w:hAnsi="Times New Roman"/>
          <w:sz w:val="24"/>
          <w:szCs w:val="24"/>
        </w:rPr>
        <w:t xml:space="preserve"> </w:t>
      </w:r>
      <w:r>
        <w:rPr>
          <w:rFonts w:ascii="Times New Roman" w:hAnsi="Times New Roman"/>
          <w:sz w:val="24"/>
          <w:szCs w:val="24"/>
        </w:rPr>
        <w:t>базовый</w:t>
      </w:r>
      <w:r w:rsidRPr="007C3417">
        <w:rPr>
          <w:rFonts w:ascii="Times New Roman" w:hAnsi="Times New Roman"/>
          <w:sz w:val="24"/>
          <w:szCs w:val="24"/>
        </w:rPr>
        <w:t xml:space="preserve"> </w:t>
      </w:r>
      <w:r>
        <w:rPr>
          <w:rFonts w:ascii="Times New Roman" w:hAnsi="Times New Roman"/>
          <w:sz w:val="24"/>
          <w:szCs w:val="24"/>
        </w:rPr>
        <w:t>(</w:t>
      </w:r>
      <w:r w:rsidRPr="007C3417">
        <w:rPr>
          <w:rFonts w:ascii="Times New Roman" w:hAnsi="Times New Roman"/>
          <w:sz w:val="24"/>
          <w:szCs w:val="24"/>
        </w:rPr>
        <w:t>вариант 1</w:t>
      </w:r>
      <w:r>
        <w:rPr>
          <w:rFonts w:ascii="Times New Roman" w:hAnsi="Times New Roman"/>
          <w:sz w:val="24"/>
          <w:szCs w:val="24"/>
        </w:rPr>
        <w:t xml:space="preserve">) и </w:t>
      </w:r>
      <w:r w:rsidRPr="007C3417">
        <w:rPr>
          <w:rFonts w:ascii="Times New Roman" w:hAnsi="Times New Roman"/>
          <w:sz w:val="24"/>
          <w:szCs w:val="24"/>
        </w:rPr>
        <w:t xml:space="preserve">умеренно-оптимистичный </w:t>
      </w:r>
      <w:r>
        <w:rPr>
          <w:rFonts w:ascii="Times New Roman" w:hAnsi="Times New Roman"/>
          <w:sz w:val="24"/>
          <w:szCs w:val="24"/>
        </w:rPr>
        <w:t>(</w:t>
      </w:r>
      <w:r w:rsidRPr="007C3417">
        <w:rPr>
          <w:rFonts w:ascii="Times New Roman" w:hAnsi="Times New Roman"/>
          <w:sz w:val="24"/>
          <w:szCs w:val="24"/>
        </w:rPr>
        <w:t>вариант 2</w:t>
      </w:r>
      <w:r>
        <w:rPr>
          <w:rFonts w:ascii="Times New Roman" w:hAnsi="Times New Roman"/>
          <w:sz w:val="24"/>
          <w:szCs w:val="24"/>
        </w:rPr>
        <w:t>).</w:t>
      </w:r>
    </w:p>
    <w:p w:rsidR="007F3176" w:rsidRDefault="007F3176" w:rsidP="007F3176">
      <w:pPr>
        <w:widowControl w:val="0"/>
        <w:spacing w:after="0" w:line="240" w:lineRule="auto"/>
        <w:ind w:firstLine="680"/>
        <w:jc w:val="both"/>
        <w:rPr>
          <w:rFonts w:ascii="Times New Roman" w:hAnsi="Times New Roman"/>
          <w:sz w:val="24"/>
          <w:szCs w:val="24"/>
        </w:rPr>
      </w:pPr>
      <w:r>
        <w:rPr>
          <w:rFonts w:ascii="Times New Roman" w:hAnsi="Times New Roman"/>
          <w:sz w:val="24"/>
          <w:szCs w:val="24"/>
        </w:rPr>
        <w:t xml:space="preserve">Прогноз социально-экономического развития Амурской области </w:t>
      </w:r>
      <w:r w:rsidRPr="008F0BCB">
        <w:rPr>
          <w:rFonts w:ascii="Times New Roman" w:hAnsi="Times New Roman"/>
          <w:sz w:val="24"/>
          <w:szCs w:val="24"/>
        </w:rPr>
        <w:t>на 2015 год и на период до 2017 года</w:t>
      </w:r>
      <w:r>
        <w:rPr>
          <w:rFonts w:ascii="Times New Roman" w:hAnsi="Times New Roman"/>
          <w:sz w:val="24"/>
          <w:szCs w:val="24"/>
        </w:rPr>
        <w:t xml:space="preserve"> сформирован с учетом прогнозируемой динамики показателей, предусмотренной базовым вариантом </w:t>
      </w:r>
      <w:r w:rsidRPr="00DC78A8">
        <w:rPr>
          <w:rFonts w:ascii="Times New Roman" w:hAnsi="Times New Roman"/>
          <w:sz w:val="24"/>
          <w:szCs w:val="24"/>
        </w:rPr>
        <w:t>прогноза социально-экономического развития Российской Федерации на 2015 год и плановый период 2016 и 2017 годов</w:t>
      </w:r>
      <w:r>
        <w:rPr>
          <w:rFonts w:ascii="Times New Roman" w:hAnsi="Times New Roman"/>
          <w:sz w:val="24"/>
          <w:szCs w:val="24"/>
        </w:rPr>
        <w:t>.</w:t>
      </w:r>
    </w:p>
    <w:p w:rsidR="007F3176" w:rsidRDefault="007F3176" w:rsidP="007F3176">
      <w:pPr>
        <w:widowControl w:val="0"/>
        <w:spacing w:after="0" w:line="240" w:lineRule="auto"/>
        <w:ind w:firstLine="680"/>
        <w:jc w:val="both"/>
        <w:rPr>
          <w:rFonts w:ascii="Times New Roman" w:hAnsi="Times New Roman"/>
          <w:sz w:val="24"/>
          <w:szCs w:val="24"/>
        </w:rPr>
      </w:pPr>
      <w:r>
        <w:rPr>
          <w:rFonts w:ascii="Times New Roman" w:hAnsi="Times New Roman"/>
          <w:sz w:val="24"/>
          <w:szCs w:val="24"/>
        </w:rPr>
        <w:lastRenderedPageBreak/>
        <w:t xml:space="preserve">Прогнозом социально-экономического развития Российской Федерации </w:t>
      </w:r>
      <w:r w:rsidRPr="00DC78A8">
        <w:rPr>
          <w:rFonts w:ascii="Times New Roman" w:hAnsi="Times New Roman"/>
          <w:sz w:val="24"/>
          <w:szCs w:val="24"/>
        </w:rPr>
        <w:t>на 2015 год и плановый период 2016 и 2017 годов</w:t>
      </w:r>
      <w:r>
        <w:rPr>
          <w:rFonts w:ascii="Times New Roman" w:hAnsi="Times New Roman"/>
          <w:sz w:val="24"/>
          <w:szCs w:val="24"/>
        </w:rPr>
        <w:t xml:space="preserve"> п</w:t>
      </w:r>
      <w:r w:rsidRPr="00DC78A8">
        <w:rPr>
          <w:rFonts w:ascii="Times New Roman" w:hAnsi="Times New Roman"/>
          <w:sz w:val="24"/>
          <w:szCs w:val="24"/>
        </w:rPr>
        <w:t>редполагает</w:t>
      </w:r>
      <w:r>
        <w:rPr>
          <w:rFonts w:ascii="Times New Roman" w:hAnsi="Times New Roman"/>
          <w:sz w:val="24"/>
          <w:szCs w:val="24"/>
        </w:rPr>
        <w:t>ся</w:t>
      </w:r>
      <w:r w:rsidRPr="00DC78A8">
        <w:rPr>
          <w:rFonts w:ascii="Times New Roman" w:hAnsi="Times New Roman"/>
          <w:sz w:val="24"/>
          <w:szCs w:val="24"/>
        </w:rPr>
        <w:t xml:space="preserve"> относительн</w:t>
      </w:r>
      <w:r>
        <w:rPr>
          <w:rFonts w:ascii="Times New Roman" w:hAnsi="Times New Roman"/>
          <w:sz w:val="24"/>
          <w:szCs w:val="24"/>
        </w:rPr>
        <w:t>ая</w:t>
      </w:r>
      <w:r w:rsidRPr="00DC78A8">
        <w:rPr>
          <w:rFonts w:ascii="Times New Roman" w:hAnsi="Times New Roman"/>
          <w:sz w:val="24"/>
          <w:szCs w:val="24"/>
        </w:rPr>
        <w:t xml:space="preserve"> стабилизаци</w:t>
      </w:r>
      <w:r>
        <w:rPr>
          <w:rFonts w:ascii="Times New Roman" w:hAnsi="Times New Roman"/>
          <w:sz w:val="24"/>
          <w:szCs w:val="24"/>
        </w:rPr>
        <w:t>я</w:t>
      </w:r>
      <w:r w:rsidRPr="00DC78A8">
        <w:rPr>
          <w:rFonts w:ascii="Times New Roman" w:hAnsi="Times New Roman"/>
          <w:sz w:val="24"/>
          <w:szCs w:val="24"/>
        </w:rPr>
        <w:t xml:space="preserve"> геополитической обстано</w:t>
      </w:r>
      <w:r>
        <w:rPr>
          <w:rFonts w:ascii="Times New Roman" w:hAnsi="Times New Roman"/>
          <w:sz w:val="24"/>
          <w:szCs w:val="24"/>
        </w:rPr>
        <w:t>вки и отмена</w:t>
      </w:r>
      <w:r w:rsidRPr="00DC78A8">
        <w:rPr>
          <w:rFonts w:ascii="Times New Roman" w:hAnsi="Times New Roman"/>
          <w:sz w:val="24"/>
          <w:szCs w:val="24"/>
        </w:rPr>
        <w:t xml:space="preserve"> санкций в отношении российских компаний</w:t>
      </w:r>
      <w:r w:rsidRPr="00B90B1A">
        <w:rPr>
          <w:rFonts w:ascii="Times New Roman" w:hAnsi="Times New Roman"/>
          <w:sz w:val="24"/>
          <w:szCs w:val="24"/>
        </w:rPr>
        <w:t xml:space="preserve"> </w:t>
      </w:r>
      <w:r>
        <w:rPr>
          <w:rFonts w:ascii="Times New Roman" w:hAnsi="Times New Roman"/>
          <w:sz w:val="24"/>
          <w:szCs w:val="24"/>
        </w:rPr>
        <w:t>в течение 2015 года</w:t>
      </w:r>
      <w:r w:rsidRPr="00DC78A8">
        <w:rPr>
          <w:rFonts w:ascii="Times New Roman" w:hAnsi="Times New Roman"/>
          <w:sz w:val="24"/>
          <w:szCs w:val="24"/>
        </w:rPr>
        <w:t xml:space="preserve">, а также прекращение действия введенных Россией ограничительных мер на ввоз на ее территорию ряда продовольственных </w:t>
      </w:r>
      <w:r w:rsidR="00113CFE">
        <w:rPr>
          <w:rFonts w:ascii="Times New Roman" w:hAnsi="Times New Roman"/>
          <w:sz w:val="24"/>
          <w:szCs w:val="24"/>
        </w:rPr>
        <w:t>и сельскохозяйственных товаров.</w:t>
      </w:r>
    </w:p>
    <w:p w:rsidR="007F3176" w:rsidRDefault="007F3176" w:rsidP="007F3176">
      <w:pPr>
        <w:widowControl w:val="0"/>
        <w:spacing w:after="0" w:line="240" w:lineRule="auto"/>
        <w:ind w:firstLine="680"/>
        <w:jc w:val="both"/>
        <w:rPr>
          <w:rFonts w:ascii="Times New Roman" w:hAnsi="Times New Roman"/>
          <w:sz w:val="24"/>
          <w:szCs w:val="24"/>
        </w:rPr>
      </w:pPr>
      <w:r>
        <w:rPr>
          <w:rFonts w:ascii="Times New Roman" w:hAnsi="Times New Roman"/>
          <w:sz w:val="24"/>
          <w:szCs w:val="24"/>
        </w:rPr>
        <w:t>Демографическая ситуация в Амурской области согласно прогнозным данным характеризуется снижением общей численности населения в 2015 году относительно оценки 2014 года на 0,9 тыс. человек, в 2016 году относительно 2015 года – на 0,9 тыс. человек, в 2017 году относительно 2016 года – на 0,8 тыс. человек.</w:t>
      </w:r>
    </w:p>
    <w:p w:rsidR="007F3176" w:rsidRDefault="007F3176" w:rsidP="007F3176">
      <w:pPr>
        <w:widowControl w:val="0"/>
        <w:spacing w:after="0" w:line="240" w:lineRule="auto"/>
        <w:ind w:firstLine="680"/>
        <w:jc w:val="both"/>
        <w:rPr>
          <w:rFonts w:ascii="Times New Roman" w:hAnsi="Times New Roman"/>
          <w:sz w:val="24"/>
          <w:szCs w:val="24"/>
        </w:rPr>
      </w:pPr>
      <w:r>
        <w:rPr>
          <w:rFonts w:ascii="Times New Roman" w:hAnsi="Times New Roman"/>
          <w:sz w:val="24"/>
          <w:szCs w:val="24"/>
        </w:rPr>
        <w:t xml:space="preserve">Снижение численности населения будет происходить как за счет естественной (коэффициент естественной убыли составит: в 2015 году 0,59 промилле, в 2016 году – </w:t>
      </w:r>
      <w:r>
        <w:rPr>
          <w:rFonts w:ascii="Times New Roman" w:hAnsi="Times New Roman"/>
          <w:sz w:val="24"/>
          <w:szCs w:val="24"/>
        </w:rPr>
        <w:br/>
        <w:t xml:space="preserve">0,68 промилле, в 2017 году – 0,74 промилле), так и миграционной (коэффициент миграционной убыли составит: в 2015 году – 2,47, в 2016 году – 2,35, в 2017 году – </w:t>
      </w:r>
      <w:r>
        <w:rPr>
          <w:rFonts w:ascii="Times New Roman" w:hAnsi="Times New Roman"/>
          <w:sz w:val="24"/>
          <w:szCs w:val="24"/>
        </w:rPr>
        <w:br/>
        <w:t>2,22 человека на 10000 человек населения) убыли населения.</w:t>
      </w:r>
    </w:p>
    <w:p w:rsidR="007F3176" w:rsidRDefault="007F3176" w:rsidP="007F3176">
      <w:pPr>
        <w:widowControl w:val="0"/>
        <w:spacing w:after="0" w:line="240" w:lineRule="auto"/>
        <w:ind w:firstLine="680"/>
        <w:jc w:val="both"/>
        <w:rPr>
          <w:rFonts w:ascii="Times New Roman" w:hAnsi="Times New Roman"/>
          <w:sz w:val="24"/>
          <w:szCs w:val="24"/>
        </w:rPr>
      </w:pPr>
      <w:r w:rsidRPr="00DC78A8">
        <w:rPr>
          <w:rFonts w:ascii="Times New Roman" w:hAnsi="Times New Roman"/>
          <w:sz w:val="24"/>
          <w:szCs w:val="24"/>
        </w:rPr>
        <w:t xml:space="preserve">Прогнозируется увеличение продолжительности жизни населения с 66,5 года в </w:t>
      </w:r>
      <w:r>
        <w:rPr>
          <w:rFonts w:ascii="Times New Roman" w:hAnsi="Times New Roman"/>
          <w:sz w:val="24"/>
          <w:szCs w:val="24"/>
        </w:rPr>
        <w:br/>
      </w:r>
      <w:r w:rsidRPr="00DC78A8">
        <w:rPr>
          <w:rFonts w:ascii="Times New Roman" w:hAnsi="Times New Roman"/>
          <w:sz w:val="24"/>
          <w:szCs w:val="24"/>
        </w:rPr>
        <w:t xml:space="preserve">2014 году до 67,5 </w:t>
      </w:r>
      <w:r>
        <w:rPr>
          <w:rFonts w:ascii="Times New Roman" w:hAnsi="Times New Roman"/>
          <w:sz w:val="24"/>
          <w:szCs w:val="24"/>
        </w:rPr>
        <w:t>года</w:t>
      </w:r>
      <w:r w:rsidRPr="00DC78A8">
        <w:rPr>
          <w:rFonts w:ascii="Times New Roman" w:hAnsi="Times New Roman"/>
          <w:sz w:val="24"/>
          <w:szCs w:val="24"/>
        </w:rPr>
        <w:t xml:space="preserve"> в 2017 году.</w:t>
      </w:r>
    </w:p>
    <w:p w:rsidR="007F3176" w:rsidRDefault="007F3176" w:rsidP="007F3176">
      <w:pPr>
        <w:widowControl w:val="0"/>
        <w:spacing w:after="0" w:line="240" w:lineRule="auto"/>
        <w:ind w:firstLine="709"/>
        <w:jc w:val="both"/>
        <w:rPr>
          <w:rFonts w:ascii="Times New Roman" w:hAnsi="Times New Roman"/>
          <w:sz w:val="24"/>
          <w:szCs w:val="24"/>
        </w:rPr>
      </w:pPr>
      <w:r w:rsidRPr="00CE4A67">
        <w:rPr>
          <w:rFonts w:ascii="Times New Roman" w:hAnsi="Times New Roman"/>
          <w:sz w:val="24"/>
          <w:szCs w:val="24"/>
        </w:rPr>
        <w:t xml:space="preserve">Прогнозом предусмотрено увеличение денежных доходов населения с </w:t>
      </w:r>
      <w:r>
        <w:rPr>
          <w:rFonts w:ascii="Times New Roman" w:hAnsi="Times New Roman"/>
          <w:sz w:val="24"/>
          <w:szCs w:val="24"/>
        </w:rPr>
        <w:br/>
        <w:t>259755,14</w:t>
      </w:r>
      <w:r w:rsidRPr="00CE4A67">
        <w:rPr>
          <w:rFonts w:ascii="Times New Roman" w:hAnsi="Times New Roman"/>
          <w:sz w:val="24"/>
          <w:szCs w:val="24"/>
        </w:rPr>
        <w:t xml:space="preserve"> млн. рублей (оценка 201</w:t>
      </w:r>
      <w:r>
        <w:rPr>
          <w:rFonts w:ascii="Times New Roman" w:hAnsi="Times New Roman"/>
          <w:sz w:val="24"/>
          <w:szCs w:val="24"/>
        </w:rPr>
        <w:t>4</w:t>
      </w:r>
      <w:r w:rsidRPr="00CE4A67">
        <w:rPr>
          <w:rFonts w:ascii="Times New Roman" w:hAnsi="Times New Roman"/>
          <w:sz w:val="24"/>
          <w:szCs w:val="24"/>
        </w:rPr>
        <w:t xml:space="preserve"> года) до 30</w:t>
      </w:r>
      <w:r>
        <w:rPr>
          <w:rFonts w:ascii="Times New Roman" w:hAnsi="Times New Roman"/>
          <w:sz w:val="24"/>
          <w:szCs w:val="24"/>
        </w:rPr>
        <w:t>9608,06</w:t>
      </w:r>
      <w:r w:rsidRPr="00CE4A67">
        <w:rPr>
          <w:rFonts w:ascii="Times New Roman" w:hAnsi="Times New Roman"/>
          <w:sz w:val="24"/>
          <w:szCs w:val="24"/>
        </w:rPr>
        <w:t>-</w:t>
      </w:r>
      <w:r>
        <w:rPr>
          <w:rFonts w:ascii="Times New Roman" w:hAnsi="Times New Roman"/>
          <w:sz w:val="24"/>
          <w:szCs w:val="24"/>
        </w:rPr>
        <w:t>336705,79</w:t>
      </w:r>
      <w:r w:rsidRPr="00CE4A67">
        <w:rPr>
          <w:rFonts w:ascii="Times New Roman" w:hAnsi="Times New Roman"/>
          <w:sz w:val="24"/>
          <w:szCs w:val="24"/>
        </w:rPr>
        <w:t xml:space="preserve"> млн. рублей в </w:t>
      </w:r>
      <w:r>
        <w:rPr>
          <w:rFonts w:ascii="Times New Roman" w:hAnsi="Times New Roman"/>
          <w:sz w:val="24"/>
          <w:szCs w:val="24"/>
        </w:rPr>
        <w:t>2017</w:t>
      </w:r>
      <w:r w:rsidRPr="00CE4A67">
        <w:rPr>
          <w:rFonts w:ascii="Times New Roman" w:hAnsi="Times New Roman"/>
          <w:sz w:val="24"/>
          <w:szCs w:val="24"/>
        </w:rPr>
        <w:t xml:space="preserve"> году (</w:t>
      </w:r>
      <w:r>
        <w:rPr>
          <w:rFonts w:ascii="Times New Roman" w:hAnsi="Times New Roman"/>
          <w:sz w:val="24"/>
          <w:szCs w:val="24"/>
        </w:rPr>
        <w:t>при</w:t>
      </w:r>
      <w:r w:rsidRPr="00CE4A67">
        <w:rPr>
          <w:rFonts w:ascii="Times New Roman" w:hAnsi="Times New Roman"/>
          <w:sz w:val="24"/>
          <w:szCs w:val="24"/>
        </w:rPr>
        <w:t>рост по отношению к 201</w:t>
      </w:r>
      <w:r>
        <w:rPr>
          <w:rFonts w:ascii="Times New Roman" w:hAnsi="Times New Roman"/>
          <w:sz w:val="24"/>
          <w:szCs w:val="24"/>
        </w:rPr>
        <w:t>4</w:t>
      </w:r>
      <w:r w:rsidRPr="00CE4A67">
        <w:rPr>
          <w:rFonts w:ascii="Times New Roman" w:hAnsi="Times New Roman"/>
          <w:sz w:val="24"/>
          <w:szCs w:val="24"/>
        </w:rPr>
        <w:t xml:space="preserve"> году – </w:t>
      </w:r>
      <w:r>
        <w:rPr>
          <w:rFonts w:ascii="Times New Roman" w:hAnsi="Times New Roman"/>
          <w:sz w:val="24"/>
          <w:szCs w:val="24"/>
        </w:rPr>
        <w:t>19,2-29,6</w:t>
      </w:r>
      <w:r w:rsidRPr="00CE4A67">
        <w:rPr>
          <w:rFonts w:ascii="Times New Roman" w:hAnsi="Times New Roman"/>
          <w:sz w:val="24"/>
          <w:szCs w:val="24"/>
        </w:rPr>
        <w:t xml:space="preserve"> процента).</w:t>
      </w:r>
      <w:r>
        <w:rPr>
          <w:rFonts w:ascii="Times New Roman" w:hAnsi="Times New Roman"/>
          <w:sz w:val="24"/>
          <w:szCs w:val="24"/>
        </w:rPr>
        <w:t xml:space="preserve"> Данные о прогнозируемых размерах денежных доходов населения по 1 варианту приведены на рисунке 1.</w:t>
      </w:r>
    </w:p>
    <w:p w:rsidR="00492137" w:rsidRDefault="00492137" w:rsidP="007F3176">
      <w:pPr>
        <w:widowControl w:val="0"/>
        <w:spacing w:after="0" w:line="240" w:lineRule="auto"/>
        <w:ind w:firstLine="709"/>
        <w:jc w:val="both"/>
        <w:rPr>
          <w:rFonts w:ascii="Times New Roman" w:hAnsi="Times New Roman"/>
          <w:sz w:val="24"/>
          <w:szCs w:val="24"/>
        </w:rPr>
      </w:pPr>
    </w:p>
    <w:p w:rsidR="00492137" w:rsidRDefault="00492137" w:rsidP="007F3176">
      <w:pPr>
        <w:widowControl w:val="0"/>
        <w:spacing w:after="0" w:line="240" w:lineRule="auto"/>
        <w:ind w:firstLine="709"/>
        <w:jc w:val="both"/>
        <w:rPr>
          <w:rFonts w:ascii="Times New Roman" w:hAnsi="Times New Roman"/>
          <w:sz w:val="24"/>
          <w:szCs w:val="24"/>
        </w:rPr>
      </w:pPr>
    </w:p>
    <w:p w:rsidR="007F3176" w:rsidRDefault="007F3176" w:rsidP="007F3176">
      <w:pPr>
        <w:widowControl w:val="0"/>
        <w:spacing w:after="0" w:line="240" w:lineRule="auto"/>
        <w:jc w:val="both"/>
        <w:rPr>
          <w:rFonts w:ascii="Times New Roman" w:hAnsi="Times New Roman"/>
          <w:sz w:val="24"/>
          <w:szCs w:val="24"/>
        </w:rPr>
      </w:pPr>
      <w:r w:rsidRPr="0031794C">
        <w:rPr>
          <w:rFonts w:ascii="Times New Roman" w:hAnsi="Times New Roman"/>
          <w:noProof/>
          <w:color w:val="FF0000"/>
          <w:sz w:val="28"/>
          <w:szCs w:val="28"/>
        </w:rPr>
        <w:drawing>
          <wp:inline distT="0" distB="0" distL="0" distR="0" wp14:anchorId="24B7090B" wp14:editId="1CE2BC98">
            <wp:extent cx="6115050" cy="3152775"/>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2137" w:rsidRDefault="00492137" w:rsidP="007F3176">
      <w:pPr>
        <w:widowControl w:val="0"/>
        <w:spacing w:after="0" w:line="240" w:lineRule="auto"/>
        <w:jc w:val="both"/>
        <w:rPr>
          <w:rFonts w:ascii="Times New Roman" w:hAnsi="Times New Roman"/>
          <w:sz w:val="24"/>
          <w:szCs w:val="24"/>
        </w:rPr>
      </w:pPr>
    </w:p>
    <w:p w:rsidR="007F3176" w:rsidRPr="00A2572F" w:rsidRDefault="007F3176" w:rsidP="007F3176">
      <w:pPr>
        <w:spacing w:after="0" w:line="240" w:lineRule="auto"/>
        <w:jc w:val="center"/>
        <w:rPr>
          <w:rFonts w:ascii="Times New Roman" w:hAnsi="Times New Roman"/>
          <w:b/>
          <w:sz w:val="24"/>
          <w:szCs w:val="24"/>
        </w:rPr>
      </w:pPr>
      <w:r w:rsidRPr="00A2572F">
        <w:rPr>
          <w:rFonts w:ascii="Times New Roman" w:hAnsi="Times New Roman"/>
          <w:b/>
          <w:sz w:val="24"/>
          <w:szCs w:val="24"/>
        </w:rPr>
        <w:t xml:space="preserve">Рис. </w:t>
      </w:r>
      <w:r>
        <w:rPr>
          <w:rFonts w:ascii="Times New Roman" w:hAnsi="Times New Roman"/>
          <w:b/>
          <w:sz w:val="24"/>
          <w:szCs w:val="24"/>
        </w:rPr>
        <w:t>1</w:t>
      </w:r>
      <w:r w:rsidRPr="00A2572F">
        <w:rPr>
          <w:rFonts w:ascii="Times New Roman" w:hAnsi="Times New Roman"/>
          <w:b/>
          <w:sz w:val="24"/>
          <w:szCs w:val="24"/>
        </w:rPr>
        <w:t xml:space="preserve"> – Динамика доходов и расходов населения за 201</w:t>
      </w:r>
      <w:r>
        <w:rPr>
          <w:rFonts w:ascii="Times New Roman" w:hAnsi="Times New Roman"/>
          <w:b/>
          <w:sz w:val="24"/>
          <w:szCs w:val="24"/>
        </w:rPr>
        <w:t>3</w:t>
      </w:r>
      <w:r w:rsidRPr="00A2572F">
        <w:rPr>
          <w:rFonts w:ascii="Times New Roman" w:hAnsi="Times New Roman"/>
          <w:b/>
          <w:sz w:val="24"/>
          <w:szCs w:val="24"/>
        </w:rPr>
        <w:t>-</w:t>
      </w:r>
      <w:r>
        <w:rPr>
          <w:rFonts w:ascii="Times New Roman" w:hAnsi="Times New Roman"/>
          <w:b/>
          <w:sz w:val="24"/>
          <w:szCs w:val="24"/>
        </w:rPr>
        <w:t>2017 годы</w:t>
      </w:r>
      <w:r w:rsidRPr="00A2572F">
        <w:rPr>
          <w:rFonts w:ascii="Times New Roman" w:hAnsi="Times New Roman"/>
          <w:b/>
          <w:sz w:val="24"/>
          <w:szCs w:val="24"/>
        </w:rPr>
        <w:t xml:space="preserve"> (вариант </w:t>
      </w:r>
      <w:r>
        <w:rPr>
          <w:rFonts w:ascii="Times New Roman" w:hAnsi="Times New Roman"/>
          <w:b/>
          <w:sz w:val="24"/>
          <w:szCs w:val="24"/>
        </w:rPr>
        <w:t>1</w:t>
      </w:r>
      <w:r w:rsidRPr="00A2572F">
        <w:rPr>
          <w:rFonts w:ascii="Times New Roman" w:hAnsi="Times New Roman"/>
          <w:b/>
          <w:sz w:val="24"/>
          <w:szCs w:val="24"/>
        </w:rPr>
        <w:t>)</w:t>
      </w:r>
    </w:p>
    <w:p w:rsidR="007F3176" w:rsidRDefault="007F3176" w:rsidP="007F3176">
      <w:pPr>
        <w:widowControl w:val="0"/>
        <w:spacing w:after="0" w:line="240" w:lineRule="auto"/>
        <w:ind w:firstLine="709"/>
        <w:jc w:val="both"/>
        <w:rPr>
          <w:rFonts w:ascii="Times New Roman" w:hAnsi="Times New Roman"/>
          <w:sz w:val="24"/>
          <w:szCs w:val="24"/>
        </w:rPr>
      </w:pPr>
    </w:p>
    <w:p w:rsidR="007F3176" w:rsidRDefault="007F3176" w:rsidP="007F3176">
      <w:pPr>
        <w:widowControl w:val="0"/>
        <w:spacing w:after="0" w:line="240" w:lineRule="auto"/>
        <w:ind w:firstLine="709"/>
        <w:jc w:val="both"/>
        <w:rPr>
          <w:rFonts w:ascii="Times New Roman" w:hAnsi="Times New Roman"/>
          <w:sz w:val="24"/>
          <w:szCs w:val="24"/>
        </w:rPr>
      </w:pPr>
      <w:r w:rsidRPr="00A2572F">
        <w:rPr>
          <w:rFonts w:ascii="Times New Roman" w:hAnsi="Times New Roman"/>
          <w:sz w:val="24"/>
          <w:szCs w:val="24"/>
        </w:rPr>
        <w:t>Рост реальных денежных доходов по прогнозу составит 10</w:t>
      </w:r>
      <w:r>
        <w:rPr>
          <w:rFonts w:ascii="Times New Roman" w:hAnsi="Times New Roman"/>
          <w:sz w:val="24"/>
          <w:szCs w:val="24"/>
        </w:rPr>
        <w:t>0</w:t>
      </w:r>
      <w:r w:rsidRPr="00A2572F">
        <w:rPr>
          <w:rFonts w:ascii="Times New Roman" w:hAnsi="Times New Roman"/>
          <w:sz w:val="24"/>
          <w:szCs w:val="24"/>
        </w:rPr>
        <w:t>,</w:t>
      </w:r>
      <w:r>
        <w:rPr>
          <w:rFonts w:ascii="Times New Roman" w:hAnsi="Times New Roman"/>
          <w:sz w:val="24"/>
          <w:szCs w:val="24"/>
        </w:rPr>
        <w:t>6</w:t>
      </w:r>
      <w:r w:rsidRPr="00A2572F">
        <w:rPr>
          <w:rFonts w:ascii="Times New Roman" w:hAnsi="Times New Roman"/>
          <w:sz w:val="24"/>
          <w:szCs w:val="24"/>
        </w:rPr>
        <w:t>8-10</w:t>
      </w:r>
      <w:r>
        <w:rPr>
          <w:rFonts w:ascii="Times New Roman" w:hAnsi="Times New Roman"/>
          <w:sz w:val="24"/>
          <w:szCs w:val="24"/>
        </w:rPr>
        <w:t>4</w:t>
      </w:r>
      <w:r w:rsidRPr="00A2572F">
        <w:rPr>
          <w:rFonts w:ascii="Times New Roman" w:hAnsi="Times New Roman"/>
          <w:sz w:val="24"/>
          <w:szCs w:val="24"/>
        </w:rPr>
        <w:t>,</w:t>
      </w:r>
      <w:r>
        <w:rPr>
          <w:rFonts w:ascii="Times New Roman" w:hAnsi="Times New Roman"/>
          <w:sz w:val="24"/>
          <w:szCs w:val="24"/>
        </w:rPr>
        <w:t>08</w:t>
      </w:r>
      <w:r w:rsidRPr="00A2572F">
        <w:rPr>
          <w:rFonts w:ascii="Times New Roman" w:hAnsi="Times New Roman"/>
          <w:sz w:val="24"/>
          <w:szCs w:val="24"/>
        </w:rPr>
        <w:t xml:space="preserve"> процента в </w:t>
      </w:r>
      <w:r>
        <w:rPr>
          <w:rFonts w:ascii="Times New Roman" w:hAnsi="Times New Roman"/>
          <w:sz w:val="24"/>
          <w:szCs w:val="24"/>
        </w:rPr>
        <w:br/>
        <w:t>2015</w:t>
      </w:r>
      <w:r w:rsidRPr="00A2572F">
        <w:rPr>
          <w:rFonts w:ascii="Times New Roman" w:hAnsi="Times New Roman"/>
          <w:sz w:val="24"/>
          <w:szCs w:val="24"/>
        </w:rPr>
        <w:t xml:space="preserve"> году по отношению к </w:t>
      </w:r>
      <w:r>
        <w:rPr>
          <w:rFonts w:ascii="Times New Roman" w:hAnsi="Times New Roman"/>
          <w:sz w:val="24"/>
          <w:szCs w:val="24"/>
        </w:rPr>
        <w:t xml:space="preserve">оценке </w:t>
      </w:r>
      <w:r w:rsidRPr="00A2572F">
        <w:rPr>
          <w:rFonts w:ascii="Times New Roman" w:hAnsi="Times New Roman"/>
          <w:sz w:val="24"/>
          <w:szCs w:val="24"/>
        </w:rPr>
        <w:t>201</w:t>
      </w:r>
      <w:r>
        <w:rPr>
          <w:rFonts w:ascii="Times New Roman" w:hAnsi="Times New Roman"/>
          <w:sz w:val="24"/>
          <w:szCs w:val="24"/>
        </w:rPr>
        <w:t>4</w:t>
      </w:r>
      <w:r w:rsidRPr="00A2572F">
        <w:rPr>
          <w:rFonts w:ascii="Times New Roman" w:hAnsi="Times New Roman"/>
          <w:sz w:val="24"/>
          <w:szCs w:val="24"/>
        </w:rPr>
        <w:t xml:space="preserve"> год</w:t>
      </w:r>
      <w:r>
        <w:rPr>
          <w:rFonts w:ascii="Times New Roman" w:hAnsi="Times New Roman"/>
          <w:sz w:val="24"/>
          <w:szCs w:val="24"/>
        </w:rPr>
        <w:t>а</w:t>
      </w:r>
      <w:r w:rsidRPr="00A2572F">
        <w:rPr>
          <w:rFonts w:ascii="Times New Roman" w:hAnsi="Times New Roman"/>
          <w:sz w:val="24"/>
          <w:szCs w:val="24"/>
        </w:rPr>
        <w:t>, 10</w:t>
      </w:r>
      <w:r>
        <w:rPr>
          <w:rFonts w:ascii="Times New Roman" w:hAnsi="Times New Roman"/>
          <w:sz w:val="24"/>
          <w:szCs w:val="24"/>
        </w:rPr>
        <w:t>1</w:t>
      </w:r>
      <w:r w:rsidRPr="00A2572F">
        <w:rPr>
          <w:rFonts w:ascii="Times New Roman" w:hAnsi="Times New Roman"/>
          <w:sz w:val="24"/>
          <w:szCs w:val="24"/>
        </w:rPr>
        <w:t>,</w:t>
      </w:r>
      <w:r>
        <w:rPr>
          <w:rFonts w:ascii="Times New Roman" w:hAnsi="Times New Roman"/>
          <w:sz w:val="24"/>
          <w:szCs w:val="24"/>
        </w:rPr>
        <w:t>90</w:t>
      </w:r>
      <w:r w:rsidRPr="00A2572F">
        <w:rPr>
          <w:rFonts w:ascii="Times New Roman" w:hAnsi="Times New Roman"/>
          <w:sz w:val="24"/>
          <w:szCs w:val="24"/>
        </w:rPr>
        <w:t>-10</w:t>
      </w:r>
      <w:r>
        <w:rPr>
          <w:rFonts w:ascii="Times New Roman" w:hAnsi="Times New Roman"/>
          <w:sz w:val="24"/>
          <w:szCs w:val="24"/>
        </w:rPr>
        <w:t>4</w:t>
      </w:r>
      <w:r w:rsidRPr="00A2572F">
        <w:rPr>
          <w:rFonts w:ascii="Times New Roman" w:hAnsi="Times New Roman"/>
          <w:sz w:val="24"/>
          <w:szCs w:val="24"/>
        </w:rPr>
        <w:t>,</w:t>
      </w:r>
      <w:r>
        <w:rPr>
          <w:rFonts w:ascii="Times New Roman" w:hAnsi="Times New Roman"/>
          <w:sz w:val="24"/>
          <w:szCs w:val="24"/>
        </w:rPr>
        <w:t>43</w:t>
      </w:r>
      <w:r w:rsidRPr="00A2572F">
        <w:rPr>
          <w:rFonts w:ascii="Times New Roman" w:hAnsi="Times New Roman"/>
          <w:sz w:val="24"/>
          <w:szCs w:val="24"/>
        </w:rPr>
        <w:t xml:space="preserve"> процента в </w:t>
      </w:r>
      <w:r>
        <w:rPr>
          <w:rFonts w:ascii="Times New Roman" w:hAnsi="Times New Roman"/>
          <w:sz w:val="24"/>
          <w:szCs w:val="24"/>
        </w:rPr>
        <w:t>2016</w:t>
      </w:r>
      <w:r w:rsidRPr="00A2572F">
        <w:rPr>
          <w:rFonts w:ascii="Times New Roman" w:hAnsi="Times New Roman"/>
          <w:sz w:val="24"/>
          <w:szCs w:val="24"/>
        </w:rPr>
        <w:t xml:space="preserve"> году по отношению к </w:t>
      </w:r>
      <w:r>
        <w:rPr>
          <w:rFonts w:ascii="Times New Roman" w:hAnsi="Times New Roman"/>
          <w:sz w:val="24"/>
          <w:szCs w:val="24"/>
        </w:rPr>
        <w:t>2015</w:t>
      </w:r>
      <w:r w:rsidRPr="00A2572F">
        <w:rPr>
          <w:rFonts w:ascii="Times New Roman" w:hAnsi="Times New Roman"/>
          <w:sz w:val="24"/>
          <w:szCs w:val="24"/>
        </w:rPr>
        <w:t xml:space="preserve"> году, 10</w:t>
      </w:r>
      <w:r>
        <w:rPr>
          <w:rFonts w:ascii="Times New Roman" w:hAnsi="Times New Roman"/>
          <w:sz w:val="24"/>
          <w:szCs w:val="24"/>
        </w:rPr>
        <w:t>1</w:t>
      </w:r>
      <w:r w:rsidRPr="00A2572F">
        <w:rPr>
          <w:rFonts w:ascii="Times New Roman" w:hAnsi="Times New Roman"/>
          <w:sz w:val="24"/>
          <w:szCs w:val="24"/>
        </w:rPr>
        <w:t>,</w:t>
      </w:r>
      <w:r>
        <w:rPr>
          <w:rFonts w:ascii="Times New Roman" w:hAnsi="Times New Roman"/>
          <w:sz w:val="24"/>
          <w:szCs w:val="24"/>
        </w:rPr>
        <w:t>90</w:t>
      </w:r>
      <w:r w:rsidRPr="00A2572F">
        <w:rPr>
          <w:rFonts w:ascii="Times New Roman" w:hAnsi="Times New Roman"/>
          <w:sz w:val="24"/>
          <w:szCs w:val="24"/>
        </w:rPr>
        <w:t>-10</w:t>
      </w:r>
      <w:r>
        <w:rPr>
          <w:rFonts w:ascii="Times New Roman" w:hAnsi="Times New Roman"/>
          <w:sz w:val="24"/>
          <w:szCs w:val="24"/>
        </w:rPr>
        <w:t>4</w:t>
      </w:r>
      <w:r w:rsidRPr="00A2572F">
        <w:rPr>
          <w:rFonts w:ascii="Times New Roman" w:hAnsi="Times New Roman"/>
          <w:sz w:val="24"/>
          <w:szCs w:val="24"/>
        </w:rPr>
        <w:t>,</w:t>
      </w:r>
      <w:r>
        <w:rPr>
          <w:rFonts w:ascii="Times New Roman" w:hAnsi="Times New Roman"/>
          <w:sz w:val="24"/>
          <w:szCs w:val="24"/>
        </w:rPr>
        <w:t>67</w:t>
      </w:r>
      <w:r w:rsidRPr="00A2572F">
        <w:rPr>
          <w:rFonts w:ascii="Times New Roman" w:hAnsi="Times New Roman"/>
          <w:sz w:val="24"/>
          <w:szCs w:val="24"/>
        </w:rPr>
        <w:t xml:space="preserve"> процента в </w:t>
      </w:r>
      <w:r>
        <w:rPr>
          <w:rFonts w:ascii="Times New Roman" w:hAnsi="Times New Roman"/>
          <w:sz w:val="24"/>
          <w:szCs w:val="24"/>
        </w:rPr>
        <w:t>2017</w:t>
      </w:r>
      <w:r w:rsidRPr="00A2572F">
        <w:rPr>
          <w:rFonts w:ascii="Times New Roman" w:hAnsi="Times New Roman"/>
          <w:sz w:val="24"/>
          <w:szCs w:val="24"/>
        </w:rPr>
        <w:t xml:space="preserve"> году по отношению к </w:t>
      </w:r>
      <w:r>
        <w:rPr>
          <w:rFonts w:ascii="Times New Roman" w:hAnsi="Times New Roman"/>
          <w:sz w:val="24"/>
          <w:szCs w:val="24"/>
        </w:rPr>
        <w:t>2016</w:t>
      </w:r>
      <w:r w:rsidRPr="00A2572F">
        <w:rPr>
          <w:rFonts w:ascii="Times New Roman" w:hAnsi="Times New Roman"/>
          <w:sz w:val="24"/>
          <w:szCs w:val="24"/>
        </w:rPr>
        <w:t xml:space="preserve"> году.</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общей сумме денежных доходов доля доходов от оплаты труда в 2017 году незначительно увеличится и составит 49,4-46,86 процента (1 и 2 варианты, соответственно), против 48,21 в 2014 году. При этом снизится доля доходов за счет социальных выплат: если в 2014 году по оценке она составит 16,86 процента, то в 2015 году – 16,67-16,28 процента, в 2016 году – 16,25-15,89 процента, в 2017 году - 15,86-15,59 процента</w:t>
      </w:r>
      <w:r w:rsidRPr="00AA1CDC">
        <w:rPr>
          <w:rFonts w:ascii="Times New Roman" w:hAnsi="Times New Roman"/>
          <w:sz w:val="24"/>
          <w:szCs w:val="24"/>
        </w:rPr>
        <w:t xml:space="preserve"> </w:t>
      </w:r>
      <w:r>
        <w:rPr>
          <w:rFonts w:ascii="Times New Roman" w:hAnsi="Times New Roman"/>
          <w:sz w:val="24"/>
          <w:szCs w:val="24"/>
        </w:rPr>
        <w:t>(по 1 и 2 вариантам, соответственно).</w:t>
      </w:r>
    </w:p>
    <w:p w:rsidR="007F3176" w:rsidRDefault="007F3176" w:rsidP="007F3176">
      <w:pPr>
        <w:widowControl w:val="0"/>
        <w:spacing w:after="0" w:line="240" w:lineRule="auto"/>
        <w:ind w:firstLine="709"/>
        <w:jc w:val="both"/>
        <w:rPr>
          <w:rFonts w:ascii="Times New Roman" w:hAnsi="Times New Roman"/>
          <w:sz w:val="24"/>
          <w:szCs w:val="24"/>
        </w:rPr>
      </w:pPr>
      <w:r w:rsidRPr="00384E17">
        <w:rPr>
          <w:rFonts w:ascii="Times New Roman" w:hAnsi="Times New Roman"/>
          <w:sz w:val="24"/>
          <w:szCs w:val="24"/>
        </w:rPr>
        <w:t xml:space="preserve">Рынок труда в прогнозируемом периоде характеризуется стабильным состоянием с </w:t>
      </w:r>
      <w:r w:rsidRPr="00384E17">
        <w:rPr>
          <w:rFonts w:ascii="Times New Roman" w:hAnsi="Times New Roman"/>
          <w:sz w:val="24"/>
          <w:szCs w:val="24"/>
        </w:rPr>
        <w:lastRenderedPageBreak/>
        <w:t xml:space="preserve">приростом численности занятых в экономике </w:t>
      </w:r>
      <w:r>
        <w:rPr>
          <w:rFonts w:ascii="Times New Roman" w:hAnsi="Times New Roman"/>
          <w:sz w:val="24"/>
          <w:szCs w:val="24"/>
        </w:rPr>
        <w:t xml:space="preserve">за счет реализации крупных инвестиционных проектов на территории области </w:t>
      </w:r>
      <w:r w:rsidRPr="00384E17">
        <w:rPr>
          <w:rFonts w:ascii="Times New Roman" w:hAnsi="Times New Roman"/>
          <w:sz w:val="24"/>
          <w:szCs w:val="24"/>
        </w:rPr>
        <w:t xml:space="preserve">на </w:t>
      </w:r>
      <w:r>
        <w:rPr>
          <w:rFonts w:ascii="Times New Roman" w:hAnsi="Times New Roman"/>
          <w:sz w:val="24"/>
          <w:szCs w:val="24"/>
        </w:rPr>
        <w:t>4</w:t>
      </w:r>
      <w:r w:rsidRPr="00384E17">
        <w:rPr>
          <w:rFonts w:ascii="Times New Roman" w:hAnsi="Times New Roman"/>
          <w:sz w:val="24"/>
          <w:szCs w:val="24"/>
        </w:rPr>
        <w:t>,</w:t>
      </w:r>
      <w:r>
        <w:rPr>
          <w:rFonts w:ascii="Times New Roman" w:hAnsi="Times New Roman"/>
          <w:sz w:val="24"/>
          <w:szCs w:val="24"/>
        </w:rPr>
        <w:t>9</w:t>
      </w:r>
      <w:r w:rsidRPr="00384E17">
        <w:rPr>
          <w:rFonts w:ascii="Times New Roman" w:hAnsi="Times New Roman"/>
          <w:sz w:val="24"/>
          <w:szCs w:val="24"/>
        </w:rPr>
        <w:t>-</w:t>
      </w:r>
      <w:r>
        <w:rPr>
          <w:rFonts w:ascii="Times New Roman" w:hAnsi="Times New Roman"/>
          <w:sz w:val="24"/>
          <w:szCs w:val="24"/>
        </w:rPr>
        <w:t>13,0</w:t>
      </w:r>
      <w:r w:rsidRPr="00384E17">
        <w:rPr>
          <w:rFonts w:ascii="Times New Roman" w:hAnsi="Times New Roman"/>
          <w:sz w:val="24"/>
          <w:szCs w:val="24"/>
        </w:rPr>
        <w:t xml:space="preserve"> тыс. человек в </w:t>
      </w:r>
      <w:r>
        <w:rPr>
          <w:rFonts w:ascii="Times New Roman" w:hAnsi="Times New Roman"/>
          <w:sz w:val="24"/>
          <w:szCs w:val="24"/>
        </w:rPr>
        <w:t>2017</w:t>
      </w:r>
      <w:r w:rsidRPr="00384E17">
        <w:rPr>
          <w:rFonts w:ascii="Times New Roman" w:hAnsi="Times New Roman"/>
          <w:sz w:val="24"/>
          <w:szCs w:val="24"/>
        </w:rPr>
        <w:t xml:space="preserve"> году относительно оценки 201</w:t>
      </w:r>
      <w:r>
        <w:rPr>
          <w:rFonts w:ascii="Times New Roman" w:hAnsi="Times New Roman"/>
          <w:sz w:val="24"/>
          <w:szCs w:val="24"/>
        </w:rPr>
        <w:t>4</w:t>
      </w:r>
      <w:r w:rsidRPr="00384E17">
        <w:rPr>
          <w:rFonts w:ascii="Times New Roman" w:hAnsi="Times New Roman"/>
          <w:sz w:val="24"/>
          <w:szCs w:val="24"/>
        </w:rPr>
        <w:t xml:space="preserve"> года, что составляет 1,</w:t>
      </w:r>
      <w:r>
        <w:rPr>
          <w:rFonts w:ascii="Times New Roman" w:hAnsi="Times New Roman"/>
          <w:sz w:val="24"/>
          <w:szCs w:val="24"/>
        </w:rPr>
        <w:t>1</w:t>
      </w:r>
      <w:r w:rsidRPr="00384E17">
        <w:rPr>
          <w:rFonts w:ascii="Times New Roman" w:hAnsi="Times New Roman"/>
          <w:sz w:val="24"/>
          <w:szCs w:val="24"/>
        </w:rPr>
        <w:t>-</w:t>
      </w:r>
      <w:r>
        <w:rPr>
          <w:rFonts w:ascii="Times New Roman" w:hAnsi="Times New Roman"/>
          <w:sz w:val="24"/>
          <w:szCs w:val="24"/>
        </w:rPr>
        <w:t>3,0</w:t>
      </w:r>
      <w:r w:rsidRPr="00384E17">
        <w:rPr>
          <w:rFonts w:ascii="Times New Roman" w:hAnsi="Times New Roman"/>
          <w:sz w:val="24"/>
          <w:szCs w:val="24"/>
        </w:rPr>
        <w:t xml:space="preserve"> процента.</w:t>
      </w:r>
    </w:p>
    <w:p w:rsidR="007F3176" w:rsidRDefault="007F3176" w:rsidP="007F3176">
      <w:pPr>
        <w:widowControl w:val="0"/>
        <w:spacing w:after="0" w:line="240" w:lineRule="auto"/>
        <w:ind w:firstLine="709"/>
        <w:jc w:val="both"/>
        <w:rPr>
          <w:rFonts w:ascii="Times New Roman" w:hAnsi="Times New Roman"/>
          <w:sz w:val="24"/>
          <w:szCs w:val="24"/>
        </w:rPr>
      </w:pPr>
      <w:r w:rsidRPr="00384E17">
        <w:rPr>
          <w:rFonts w:ascii="Times New Roman" w:hAnsi="Times New Roman"/>
          <w:sz w:val="24"/>
          <w:szCs w:val="24"/>
        </w:rPr>
        <w:t xml:space="preserve">Предполагается, что уровень безработицы снизится с </w:t>
      </w:r>
      <w:r>
        <w:rPr>
          <w:rFonts w:ascii="Times New Roman" w:hAnsi="Times New Roman"/>
          <w:sz w:val="24"/>
          <w:szCs w:val="24"/>
        </w:rPr>
        <w:t>5</w:t>
      </w:r>
      <w:r w:rsidRPr="00384E17">
        <w:rPr>
          <w:rFonts w:ascii="Times New Roman" w:hAnsi="Times New Roman"/>
          <w:sz w:val="24"/>
          <w:szCs w:val="24"/>
        </w:rPr>
        <w:t>,</w:t>
      </w:r>
      <w:r>
        <w:rPr>
          <w:rFonts w:ascii="Times New Roman" w:hAnsi="Times New Roman"/>
          <w:sz w:val="24"/>
          <w:szCs w:val="24"/>
        </w:rPr>
        <w:t>6</w:t>
      </w:r>
      <w:r w:rsidRPr="00384E17">
        <w:rPr>
          <w:rFonts w:ascii="Times New Roman" w:hAnsi="Times New Roman"/>
          <w:sz w:val="24"/>
          <w:szCs w:val="24"/>
        </w:rPr>
        <w:t xml:space="preserve"> процента в 201</w:t>
      </w:r>
      <w:r>
        <w:rPr>
          <w:rFonts w:ascii="Times New Roman" w:hAnsi="Times New Roman"/>
          <w:sz w:val="24"/>
          <w:szCs w:val="24"/>
        </w:rPr>
        <w:t>4</w:t>
      </w:r>
      <w:r w:rsidRPr="00384E17">
        <w:rPr>
          <w:rFonts w:ascii="Times New Roman" w:hAnsi="Times New Roman"/>
          <w:sz w:val="24"/>
          <w:szCs w:val="24"/>
        </w:rPr>
        <w:t xml:space="preserve"> году (оценка) до </w:t>
      </w:r>
      <w:r>
        <w:rPr>
          <w:rFonts w:ascii="Times New Roman" w:hAnsi="Times New Roman"/>
          <w:sz w:val="24"/>
          <w:szCs w:val="24"/>
        </w:rPr>
        <w:t>5,0</w:t>
      </w:r>
      <w:r w:rsidRPr="00384E17">
        <w:rPr>
          <w:rFonts w:ascii="Times New Roman" w:hAnsi="Times New Roman"/>
          <w:sz w:val="24"/>
          <w:szCs w:val="24"/>
        </w:rPr>
        <w:t>-</w:t>
      </w:r>
      <w:r>
        <w:rPr>
          <w:rFonts w:ascii="Times New Roman" w:hAnsi="Times New Roman"/>
          <w:sz w:val="24"/>
          <w:szCs w:val="24"/>
        </w:rPr>
        <w:t>4,6</w:t>
      </w:r>
      <w:r w:rsidRPr="00384E17">
        <w:rPr>
          <w:rFonts w:ascii="Times New Roman" w:hAnsi="Times New Roman"/>
          <w:sz w:val="24"/>
          <w:szCs w:val="24"/>
        </w:rPr>
        <w:t xml:space="preserve"> процента в </w:t>
      </w:r>
      <w:r>
        <w:rPr>
          <w:rFonts w:ascii="Times New Roman" w:hAnsi="Times New Roman"/>
          <w:sz w:val="24"/>
          <w:szCs w:val="24"/>
        </w:rPr>
        <w:t>2017</w:t>
      </w:r>
      <w:r w:rsidRPr="00384E17">
        <w:rPr>
          <w:rFonts w:ascii="Times New Roman" w:hAnsi="Times New Roman"/>
          <w:sz w:val="24"/>
          <w:szCs w:val="24"/>
        </w:rPr>
        <w:t xml:space="preserve"> году. При этом фонд начисленной заработной платы всех работников увеличится в </w:t>
      </w:r>
      <w:r>
        <w:rPr>
          <w:rFonts w:ascii="Times New Roman" w:hAnsi="Times New Roman"/>
          <w:sz w:val="24"/>
          <w:szCs w:val="24"/>
        </w:rPr>
        <w:t>2017</w:t>
      </w:r>
      <w:r w:rsidRPr="00384E17">
        <w:rPr>
          <w:rFonts w:ascii="Times New Roman" w:hAnsi="Times New Roman"/>
          <w:sz w:val="24"/>
          <w:szCs w:val="24"/>
        </w:rPr>
        <w:t xml:space="preserve"> году относительно оценки 201</w:t>
      </w:r>
      <w:r>
        <w:rPr>
          <w:rFonts w:ascii="Times New Roman" w:hAnsi="Times New Roman"/>
          <w:sz w:val="24"/>
          <w:szCs w:val="24"/>
        </w:rPr>
        <w:t>4</w:t>
      </w:r>
      <w:r w:rsidRPr="00384E17">
        <w:rPr>
          <w:rFonts w:ascii="Times New Roman" w:hAnsi="Times New Roman"/>
          <w:sz w:val="24"/>
          <w:szCs w:val="24"/>
        </w:rPr>
        <w:t xml:space="preserve"> года </w:t>
      </w:r>
      <w:r>
        <w:rPr>
          <w:rFonts w:ascii="Times New Roman" w:hAnsi="Times New Roman"/>
          <w:sz w:val="24"/>
          <w:szCs w:val="24"/>
        </w:rPr>
        <w:t xml:space="preserve">на </w:t>
      </w:r>
      <w:r>
        <w:rPr>
          <w:rFonts w:ascii="Times New Roman" w:hAnsi="Times New Roman"/>
          <w:sz w:val="24"/>
          <w:szCs w:val="24"/>
        </w:rPr>
        <w:br/>
        <w:t>24042,67</w:t>
      </w:r>
      <w:r w:rsidRPr="00384E17">
        <w:rPr>
          <w:rFonts w:ascii="Times New Roman" w:hAnsi="Times New Roman"/>
          <w:sz w:val="24"/>
          <w:szCs w:val="24"/>
        </w:rPr>
        <w:t>-</w:t>
      </w:r>
      <w:r>
        <w:rPr>
          <w:rFonts w:ascii="Times New Roman" w:hAnsi="Times New Roman"/>
          <w:sz w:val="24"/>
          <w:szCs w:val="24"/>
        </w:rPr>
        <w:t>35575,89</w:t>
      </w:r>
      <w:r w:rsidRPr="00384E17">
        <w:rPr>
          <w:rFonts w:ascii="Times New Roman" w:hAnsi="Times New Roman"/>
          <w:sz w:val="24"/>
          <w:szCs w:val="24"/>
        </w:rPr>
        <w:t xml:space="preserve"> млн. рублей</w:t>
      </w:r>
      <w:r>
        <w:rPr>
          <w:rFonts w:ascii="Times New Roman" w:hAnsi="Times New Roman"/>
          <w:sz w:val="24"/>
          <w:szCs w:val="24"/>
        </w:rPr>
        <w:t xml:space="preserve">, или 21,4 </w:t>
      </w:r>
      <w:r w:rsidRPr="00384E17">
        <w:rPr>
          <w:rFonts w:ascii="Times New Roman" w:hAnsi="Times New Roman"/>
          <w:sz w:val="24"/>
          <w:szCs w:val="24"/>
        </w:rPr>
        <w:t>-</w:t>
      </w:r>
      <w:r>
        <w:rPr>
          <w:rFonts w:ascii="Times New Roman" w:hAnsi="Times New Roman"/>
          <w:sz w:val="24"/>
          <w:szCs w:val="24"/>
        </w:rPr>
        <w:t xml:space="preserve"> 31,6</w:t>
      </w:r>
      <w:r w:rsidRPr="00384E17">
        <w:rPr>
          <w:rFonts w:ascii="Times New Roman" w:hAnsi="Times New Roman"/>
          <w:sz w:val="24"/>
          <w:szCs w:val="24"/>
        </w:rPr>
        <w:t xml:space="preserve"> процента.</w:t>
      </w:r>
    </w:p>
    <w:p w:rsidR="007F3176" w:rsidRDefault="007F3176" w:rsidP="007F3176">
      <w:pPr>
        <w:spacing w:after="0" w:line="240" w:lineRule="auto"/>
        <w:ind w:firstLine="748"/>
        <w:jc w:val="both"/>
        <w:rPr>
          <w:rFonts w:ascii="Times New Roman" w:hAnsi="Times New Roman"/>
          <w:sz w:val="24"/>
          <w:szCs w:val="24"/>
        </w:rPr>
      </w:pPr>
      <w:r w:rsidRPr="00876FE9">
        <w:rPr>
          <w:rFonts w:ascii="Times New Roman" w:hAnsi="Times New Roman"/>
          <w:sz w:val="24"/>
          <w:szCs w:val="24"/>
        </w:rPr>
        <w:t>По оценке, в 201</w:t>
      </w:r>
      <w:r>
        <w:rPr>
          <w:rFonts w:ascii="Times New Roman" w:hAnsi="Times New Roman"/>
          <w:sz w:val="24"/>
          <w:szCs w:val="24"/>
        </w:rPr>
        <w:t>4</w:t>
      </w:r>
      <w:r w:rsidRPr="00876FE9">
        <w:rPr>
          <w:rFonts w:ascii="Times New Roman" w:hAnsi="Times New Roman"/>
          <w:sz w:val="24"/>
          <w:szCs w:val="24"/>
        </w:rPr>
        <w:t xml:space="preserve"> году денежные расходы населения сложатся в сумме </w:t>
      </w:r>
      <w:r>
        <w:rPr>
          <w:rFonts w:ascii="Times New Roman" w:hAnsi="Times New Roman"/>
          <w:sz w:val="24"/>
          <w:szCs w:val="24"/>
        </w:rPr>
        <w:br/>
        <w:t>253911,41</w:t>
      </w:r>
      <w:r w:rsidRPr="00876FE9">
        <w:rPr>
          <w:rFonts w:ascii="Times New Roman" w:hAnsi="Times New Roman"/>
          <w:sz w:val="24"/>
          <w:szCs w:val="24"/>
        </w:rPr>
        <w:t xml:space="preserve"> млн. рублей, что на </w:t>
      </w:r>
      <w:r>
        <w:rPr>
          <w:rFonts w:ascii="Times New Roman" w:hAnsi="Times New Roman"/>
          <w:sz w:val="24"/>
          <w:szCs w:val="24"/>
        </w:rPr>
        <w:t>10,8</w:t>
      </w:r>
      <w:r w:rsidRPr="00876FE9">
        <w:rPr>
          <w:rFonts w:ascii="Times New Roman" w:hAnsi="Times New Roman"/>
          <w:sz w:val="24"/>
          <w:szCs w:val="24"/>
        </w:rPr>
        <w:t xml:space="preserve"> процента</w:t>
      </w:r>
      <w:r>
        <w:rPr>
          <w:rFonts w:ascii="Times New Roman" w:hAnsi="Times New Roman"/>
          <w:sz w:val="24"/>
          <w:szCs w:val="24"/>
        </w:rPr>
        <w:t xml:space="preserve"> больше, чем в предыдущем году.</w:t>
      </w:r>
    </w:p>
    <w:p w:rsidR="007F3176" w:rsidRDefault="007F3176" w:rsidP="007F3176">
      <w:pPr>
        <w:widowControl w:val="0"/>
        <w:autoSpaceDE w:val="0"/>
        <w:autoSpaceDN w:val="0"/>
        <w:adjustRightInd w:val="0"/>
        <w:spacing w:after="0" w:line="240" w:lineRule="auto"/>
        <w:ind w:firstLine="709"/>
        <w:jc w:val="both"/>
        <w:rPr>
          <w:rFonts w:ascii="Times New Roman" w:hAnsi="Times New Roman"/>
          <w:sz w:val="24"/>
          <w:szCs w:val="24"/>
        </w:rPr>
      </w:pPr>
      <w:r w:rsidRPr="00180E0D">
        <w:rPr>
          <w:rFonts w:ascii="Times New Roman" w:hAnsi="Times New Roman"/>
          <w:sz w:val="24"/>
          <w:szCs w:val="24"/>
        </w:rPr>
        <w:t xml:space="preserve">Структура денежных </w:t>
      </w:r>
      <w:r>
        <w:rPr>
          <w:rFonts w:ascii="Times New Roman" w:hAnsi="Times New Roman"/>
          <w:sz w:val="24"/>
          <w:szCs w:val="24"/>
        </w:rPr>
        <w:t>расходов</w:t>
      </w:r>
      <w:r w:rsidRPr="00180E0D">
        <w:rPr>
          <w:rFonts w:ascii="Times New Roman" w:hAnsi="Times New Roman"/>
          <w:sz w:val="24"/>
          <w:szCs w:val="24"/>
        </w:rPr>
        <w:t xml:space="preserve"> в 201</w:t>
      </w:r>
      <w:r>
        <w:rPr>
          <w:rFonts w:ascii="Times New Roman" w:hAnsi="Times New Roman"/>
          <w:sz w:val="24"/>
          <w:szCs w:val="24"/>
        </w:rPr>
        <w:t>4</w:t>
      </w:r>
      <w:r w:rsidRPr="00180E0D">
        <w:rPr>
          <w:rFonts w:ascii="Times New Roman" w:hAnsi="Times New Roman"/>
          <w:sz w:val="24"/>
          <w:szCs w:val="24"/>
        </w:rPr>
        <w:t>-201</w:t>
      </w:r>
      <w:r>
        <w:rPr>
          <w:rFonts w:ascii="Times New Roman" w:hAnsi="Times New Roman"/>
          <w:sz w:val="24"/>
          <w:szCs w:val="24"/>
        </w:rPr>
        <w:t>7</w:t>
      </w:r>
      <w:r w:rsidRPr="00180E0D">
        <w:rPr>
          <w:rFonts w:ascii="Times New Roman" w:hAnsi="Times New Roman"/>
          <w:sz w:val="24"/>
          <w:szCs w:val="24"/>
        </w:rPr>
        <w:t xml:space="preserve"> годах приведена на рисунке 2.</w:t>
      </w:r>
    </w:p>
    <w:p w:rsidR="007F3176" w:rsidRPr="00492137" w:rsidRDefault="007F3176" w:rsidP="007F3176">
      <w:pPr>
        <w:widowControl w:val="0"/>
        <w:autoSpaceDE w:val="0"/>
        <w:autoSpaceDN w:val="0"/>
        <w:adjustRightInd w:val="0"/>
        <w:spacing w:after="0" w:line="240" w:lineRule="auto"/>
        <w:ind w:firstLine="709"/>
        <w:jc w:val="both"/>
        <w:rPr>
          <w:rFonts w:ascii="Times New Roman" w:hAnsi="Times New Roman"/>
          <w:sz w:val="24"/>
          <w:szCs w:val="24"/>
        </w:rPr>
      </w:pPr>
    </w:p>
    <w:p w:rsidR="007F3176" w:rsidRPr="00492137" w:rsidRDefault="007F3176" w:rsidP="007F3176">
      <w:pPr>
        <w:widowControl w:val="0"/>
        <w:autoSpaceDE w:val="0"/>
        <w:autoSpaceDN w:val="0"/>
        <w:adjustRightInd w:val="0"/>
        <w:spacing w:after="0" w:line="240" w:lineRule="auto"/>
        <w:ind w:firstLine="709"/>
        <w:jc w:val="both"/>
        <w:rPr>
          <w:rFonts w:ascii="Times New Roman" w:hAnsi="Times New Roman"/>
          <w:sz w:val="24"/>
          <w:szCs w:val="24"/>
        </w:rPr>
      </w:pPr>
    </w:p>
    <w:p w:rsidR="007F3176" w:rsidRPr="00492137" w:rsidRDefault="007F3176" w:rsidP="007F3176">
      <w:pPr>
        <w:widowControl w:val="0"/>
        <w:autoSpaceDE w:val="0"/>
        <w:autoSpaceDN w:val="0"/>
        <w:adjustRightInd w:val="0"/>
        <w:spacing w:after="0" w:line="240" w:lineRule="auto"/>
        <w:jc w:val="center"/>
        <w:rPr>
          <w:rFonts w:ascii="Times New Roman" w:hAnsi="Times New Roman"/>
          <w:sz w:val="24"/>
          <w:szCs w:val="24"/>
        </w:rPr>
      </w:pPr>
      <w:r w:rsidRPr="00180E0D">
        <w:rPr>
          <w:rFonts w:asciiTheme="minorHAnsi" w:eastAsiaTheme="minorHAnsi" w:hAnsiTheme="minorHAnsi" w:cstheme="minorBidi"/>
          <w:noProof/>
          <w:color w:val="FF0000"/>
        </w:rPr>
        <w:drawing>
          <wp:inline distT="0" distB="0" distL="0" distR="0" wp14:anchorId="1650111D" wp14:editId="18AD3617">
            <wp:extent cx="6105525" cy="2524125"/>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3176" w:rsidRDefault="007F3176" w:rsidP="007F3176">
      <w:pPr>
        <w:widowControl w:val="0"/>
        <w:autoSpaceDE w:val="0"/>
        <w:autoSpaceDN w:val="0"/>
        <w:adjustRightInd w:val="0"/>
        <w:spacing w:after="0" w:line="240" w:lineRule="auto"/>
        <w:jc w:val="center"/>
        <w:rPr>
          <w:rFonts w:ascii="Times New Roman" w:hAnsi="Times New Roman"/>
          <w:b/>
          <w:sz w:val="24"/>
          <w:szCs w:val="24"/>
        </w:rPr>
      </w:pPr>
    </w:p>
    <w:p w:rsidR="00492137" w:rsidRDefault="00492137" w:rsidP="007F3176">
      <w:pPr>
        <w:widowControl w:val="0"/>
        <w:autoSpaceDE w:val="0"/>
        <w:autoSpaceDN w:val="0"/>
        <w:adjustRightInd w:val="0"/>
        <w:spacing w:after="0" w:line="240" w:lineRule="auto"/>
        <w:jc w:val="center"/>
        <w:rPr>
          <w:rFonts w:ascii="Times New Roman" w:hAnsi="Times New Roman"/>
          <w:b/>
          <w:sz w:val="24"/>
          <w:szCs w:val="24"/>
        </w:rPr>
      </w:pPr>
    </w:p>
    <w:p w:rsidR="007F3176" w:rsidRDefault="007F3176" w:rsidP="007F3176">
      <w:pPr>
        <w:widowControl w:val="0"/>
        <w:autoSpaceDE w:val="0"/>
        <w:autoSpaceDN w:val="0"/>
        <w:adjustRightInd w:val="0"/>
        <w:spacing w:after="0" w:line="240" w:lineRule="auto"/>
        <w:jc w:val="center"/>
        <w:rPr>
          <w:rFonts w:ascii="Times New Roman" w:hAnsi="Times New Roman"/>
          <w:b/>
          <w:sz w:val="24"/>
          <w:szCs w:val="24"/>
        </w:rPr>
      </w:pPr>
      <w:r w:rsidRPr="00180E0D">
        <w:rPr>
          <w:rFonts w:ascii="Times New Roman" w:hAnsi="Times New Roman"/>
          <w:b/>
          <w:sz w:val="24"/>
          <w:szCs w:val="24"/>
        </w:rPr>
        <w:t xml:space="preserve">Рис. 2 – Структура </w:t>
      </w:r>
      <w:r>
        <w:rPr>
          <w:rFonts w:ascii="Times New Roman" w:hAnsi="Times New Roman"/>
          <w:b/>
          <w:sz w:val="24"/>
          <w:szCs w:val="24"/>
        </w:rPr>
        <w:t>денежных расходов</w:t>
      </w:r>
      <w:r w:rsidRPr="00180E0D">
        <w:rPr>
          <w:rFonts w:ascii="Times New Roman" w:hAnsi="Times New Roman"/>
          <w:b/>
          <w:sz w:val="24"/>
          <w:szCs w:val="24"/>
        </w:rPr>
        <w:t xml:space="preserve"> населения Амурской области </w:t>
      </w:r>
      <w:r w:rsidRPr="00180E0D">
        <w:rPr>
          <w:rFonts w:ascii="Times New Roman" w:hAnsi="Times New Roman"/>
          <w:b/>
          <w:sz w:val="24"/>
          <w:szCs w:val="24"/>
        </w:rPr>
        <w:br/>
        <w:t>в 201</w:t>
      </w:r>
      <w:r>
        <w:rPr>
          <w:rFonts w:ascii="Times New Roman" w:hAnsi="Times New Roman"/>
          <w:b/>
          <w:sz w:val="24"/>
          <w:szCs w:val="24"/>
        </w:rPr>
        <w:t>4</w:t>
      </w:r>
      <w:r w:rsidRPr="00180E0D">
        <w:rPr>
          <w:rFonts w:ascii="Times New Roman" w:hAnsi="Times New Roman"/>
          <w:b/>
          <w:sz w:val="24"/>
          <w:szCs w:val="24"/>
        </w:rPr>
        <w:t>-201</w:t>
      </w:r>
      <w:r>
        <w:rPr>
          <w:rFonts w:ascii="Times New Roman" w:hAnsi="Times New Roman"/>
          <w:b/>
          <w:sz w:val="24"/>
          <w:szCs w:val="24"/>
        </w:rPr>
        <w:t>7</w:t>
      </w:r>
      <w:r w:rsidRPr="00180E0D">
        <w:rPr>
          <w:rFonts w:ascii="Times New Roman" w:hAnsi="Times New Roman"/>
          <w:b/>
          <w:sz w:val="24"/>
          <w:szCs w:val="24"/>
        </w:rPr>
        <w:t xml:space="preserve"> годах, в процентах</w:t>
      </w:r>
      <w:r>
        <w:rPr>
          <w:rFonts w:ascii="Times New Roman" w:hAnsi="Times New Roman"/>
          <w:b/>
          <w:sz w:val="24"/>
          <w:szCs w:val="24"/>
        </w:rPr>
        <w:t xml:space="preserve"> (1 вариант)</w:t>
      </w:r>
    </w:p>
    <w:p w:rsidR="007F3176" w:rsidRDefault="007F3176" w:rsidP="007F3176">
      <w:pPr>
        <w:spacing w:after="0" w:line="240" w:lineRule="auto"/>
        <w:ind w:firstLine="748"/>
        <w:jc w:val="both"/>
        <w:rPr>
          <w:rFonts w:ascii="Times New Roman" w:hAnsi="Times New Roman"/>
          <w:sz w:val="24"/>
          <w:szCs w:val="24"/>
        </w:rPr>
      </w:pPr>
    </w:p>
    <w:p w:rsidR="00492137" w:rsidRDefault="00492137" w:rsidP="007F3176">
      <w:pPr>
        <w:spacing w:after="0" w:line="240" w:lineRule="auto"/>
        <w:ind w:firstLine="748"/>
        <w:jc w:val="both"/>
        <w:rPr>
          <w:rFonts w:ascii="Times New Roman" w:hAnsi="Times New Roman"/>
          <w:sz w:val="24"/>
          <w:szCs w:val="24"/>
        </w:rPr>
      </w:pPr>
    </w:p>
    <w:p w:rsidR="007F3176" w:rsidRDefault="007F3176" w:rsidP="007F3176">
      <w:pPr>
        <w:spacing w:after="0" w:line="240" w:lineRule="auto"/>
        <w:ind w:firstLine="748"/>
        <w:jc w:val="both"/>
        <w:rPr>
          <w:rFonts w:ascii="Times New Roman" w:hAnsi="Times New Roman"/>
          <w:sz w:val="24"/>
          <w:szCs w:val="24"/>
        </w:rPr>
      </w:pPr>
      <w:r w:rsidRPr="00103221">
        <w:rPr>
          <w:rFonts w:ascii="Times New Roman" w:hAnsi="Times New Roman"/>
          <w:sz w:val="24"/>
          <w:szCs w:val="24"/>
        </w:rPr>
        <w:t xml:space="preserve">В </w:t>
      </w:r>
      <w:r>
        <w:rPr>
          <w:rFonts w:ascii="Times New Roman" w:hAnsi="Times New Roman"/>
          <w:sz w:val="24"/>
          <w:szCs w:val="24"/>
        </w:rPr>
        <w:t>2015</w:t>
      </w:r>
      <w:r w:rsidRPr="00103221">
        <w:rPr>
          <w:rFonts w:ascii="Times New Roman" w:hAnsi="Times New Roman"/>
          <w:sz w:val="24"/>
          <w:szCs w:val="24"/>
        </w:rPr>
        <w:t xml:space="preserve"> году </w:t>
      </w:r>
      <w:r>
        <w:rPr>
          <w:rFonts w:ascii="Times New Roman" w:hAnsi="Times New Roman"/>
          <w:sz w:val="24"/>
          <w:szCs w:val="24"/>
        </w:rPr>
        <w:t xml:space="preserve">денежные </w:t>
      </w:r>
      <w:r w:rsidRPr="00103221">
        <w:rPr>
          <w:rFonts w:ascii="Times New Roman" w:hAnsi="Times New Roman"/>
          <w:sz w:val="24"/>
          <w:szCs w:val="24"/>
        </w:rPr>
        <w:t xml:space="preserve">расходы </w:t>
      </w:r>
      <w:r>
        <w:rPr>
          <w:rFonts w:ascii="Times New Roman" w:hAnsi="Times New Roman"/>
          <w:sz w:val="24"/>
          <w:szCs w:val="24"/>
        </w:rPr>
        <w:t xml:space="preserve">населения </w:t>
      </w:r>
      <w:r w:rsidRPr="00103221">
        <w:rPr>
          <w:rFonts w:ascii="Times New Roman" w:hAnsi="Times New Roman"/>
          <w:sz w:val="24"/>
          <w:szCs w:val="24"/>
        </w:rPr>
        <w:t xml:space="preserve">составят </w:t>
      </w:r>
      <w:r>
        <w:rPr>
          <w:rFonts w:ascii="Times New Roman" w:hAnsi="Times New Roman"/>
          <w:sz w:val="24"/>
          <w:szCs w:val="24"/>
        </w:rPr>
        <w:t>268675,79</w:t>
      </w:r>
      <w:r w:rsidRPr="00103221">
        <w:rPr>
          <w:rFonts w:ascii="Times New Roman" w:hAnsi="Times New Roman"/>
          <w:sz w:val="24"/>
          <w:szCs w:val="24"/>
        </w:rPr>
        <w:t xml:space="preserve"> млн. рублей, в </w:t>
      </w:r>
      <w:r>
        <w:rPr>
          <w:rFonts w:ascii="Times New Roman" w:hAnsi="Times New Roman"/>
          <w:sz w:val="24"/>
          <w:szCs w:val="24"/>
        </w:rPr>
        <w:br/>
        <w:t>2016</w:t>
      </w:r>
      <w:r w:rsidRPr="00103221">
        <w:rPr>
          <w:rFonts w:ascii="Times New Roman" w:hAnsi="Times New Roman"/>
          <w:sz w:val="24"/>
          <w:szCs w:val="24"/>
        </w:rPr>
        <w:t xml:space="preserve"> году – </w:t>
      </w:r>
      <w:r>
        <w:rPr>
          <w:rFonts w:ascii="Times New Roman" w:hAnsi="Times New Roman"/>
          <w:sz w:val="24"/>
          <w:szCs w:val="24"/>
        </w:rPr>
        <w:t>285398,08</w:t>
      </w:r>
      <w:r w:rsidRPr="00103221">
        <w:rPr>
          <w:rFonts w:ascii="Times New Roman" w:hAnsi="Times New Roman"/>
          <w:sz w:val="24"/>
          <w:szCs w:val="24"/>
        </w:rPr>
        <w:t xml:space="preserve"> млн. рублей, в </w:t>
      </w:r>
      <w:r>
        <w:rPr>
          <w:rFonts w:ascii="Times New Roman" w:hAnsi="Times New Roman"/>
          <w:sz w:val="24"/>
          <w:szCs w:val="24"/>
        </w:rPr>
        <w:t>2017</w:t>
      </w:r>
      <w:r w:rsidRPr="00103221">
        <w:rPr>
          <w:rFonts w:ascii="Times New Roman" w:hAnsi="Times New Roman"/>
          <w:sz w:val="24"/>
          <w:szCs w:val="24"/>
        </w:rPr>
        <w:t xml:space="preserve"> году – </w:t>
      </w:r>
      <w:r>
        <w:rPr>
          <w:rFonts w:ascii="Times New Roman" w:hAnsi="Times New Roman"/>
          <w:sz w:val="24"/>
          <w:szCs w:val="24"/>
        </w:rPr>
        <w:t>301228,55</w:t>
      </w:r>
      <w:r w:rsidRPr="00103221">
        <w:rPr>
          <w:rFonts w:ascii="Times New Roman" w:hAnsi="Times New Roman"/>
          <w:sz w:val="24"/>
          <w:szCs w:val="24"/>
        </w:rPr>
        <w:t xml:space="preserve"> млн. рублей (по </w:t>
      </w:r>
      <w:r>
        <w:rPr>
          <w:rFonts w:ascii="Times New Roman" w:hAnsi="Times New Roman"/>
          <w:sz w:val="24"/>
          <w:szCs w:val="24"/>
        </w:rPr>
        <w:t>1</w:t>
      </w:r>
      <w:r w:rsidRPr="00103221">
        <w:rPr>
          <w:rFonts w:ascii="Times New Roman" w:hAnsi="Times New Roman"/>
          <w:sz w:val="24"/>
          <w:szCs w:val="24"/>
        </w:rPr>
        <w:t xml:space="preserve"> варианту).</w:t>
      </w:r>
    </w:p>
    <w:p w:rsidR="007F3176" w:rsidRDefault="007F3176" w:rsidP="007F3176">
      <w:pPr>
        <w:widowControl w:val="0"/>
        <w:autoSpaceDE w:val="0"/>
        <w:autoSpaceDN w:val="0"/>
        <w:adjustRightInd w:val="0"/>
        <w:spacing w:after="0" w:line="240" w:lineRule="auto"/>
        <w:ind w:firstLine="709"/>
        <w:jc w:val="both"/>
        <w:rPr>
          <w:rFonts w:ascii="Times New Roman" w:hAnsi="Times New Roman"/>
          <w:sz w:val="24"/>
          <w:szCs w:val="20"/>
        </w:rPr>
      </w:pPr>
      <w:r w:rsidRPr="007B10AA">
        <w:rPr>
          <w:rFonts w:ascii="Times New Roman" w:hAnsi="Times New Roman"/>
          <w:sz w:val="24"/>
          <w:szCs w:val="20"/>
        </w:rPr>
        <w:t xml:space="preserve">Согласно данным рисунка 2 в прогнозируемом периоде ожидается увеличение доли расходов </w:t>
      </w:r>
      <w:r>
        <w:rPr>
          <w:rFonts w:ascii="Times New Roman" w:hAnsi="Times New Roman"/>
          <w:sz w:val="24"/>
          <w:szCs w:val="20"/>
        </w:rPr>
        <w:t xml:space="preserve">населения </w:t>
      </w:r>
      <w:r w:rsidRPr="007B10AA">
        <w:rPr>
          <w:rFonts w:ascii="Times New Roman" w:hAnsi="Times New Roman"/>
          <w:sz w:val="24"/>
          <w:szCs w:val="20"/>
        </w:rPr>
        <w:t>на покупку товаров и оплату услуг: с 71,4 процента в 2014 году (оценка) до 72,8-72,1 процента в 2017 году (1 и 2 варианты, соответственно), а также на оплату обязательных платежей и взносов</w:t>
      </w:r>
      <w:r>
        <w:rPr>
          <w:rFonts w:ascii="Times New Roman" w:hAnsi="Times New Roman"/>
          <w:sz w:val="24"/>
          <w:szCs w:val="20"/>
        </w:rPr>
        <w:t xml:space="preserve">: с 12,8 процента в 2014 году </w:t>
      </w:r>
      <w:r w:rsidRPr="007B10AA">
        <w:rPr>
          <w:rFonts w:ascii="Times New Roman" w:hAnsi="Times New Roman"/>
          <w:sz w:val="24"/>
          <w:szCs w:val="20"/>
        </w:rPr>
        <w:t>(оценка)</w:t>
      </w:r>
      <w:r>
        <w:rPr>
          <w:rFonts w:ascii="Times New Roman" w:hAnsi="Times New Roman"/>
          <w:sz w:val="24"/>
          <w:szCs w:val="20"/>
        </w:rPr>
        <w:t xml:space="preserve"> до </w:t>
      </w:r>
      <w:r>
        <w:rPr>
          <w:rFonts w:ascii="Times New Roman" w:hAnsi="Times New Roman"/>
          <w:sz w:val="24"/>
          <w:szCs w:val="20"/>
        </w:rPr>
        <w:br/>
        <w:t xml:space="preserve">12,2-12,9 процента в 2017 году </w:t>
      </w:r>
      <w:r w:rsidRPr="007B10AA">
        <w:rPr>
          <w:rFonts w:ascii="Times New Roman" w:hAnsi="Times New Roman"/>
          <w:sz w:val="24"/>
          <w:szCs w:val="20"/>
        </w:rPr>
        <w:t>(1 и 2 варианты, соответственно).</w:t>
      </w:r>
    </w:p>
    <w:p w:rsidR="007F3176" w:rsidRDefault="007F3176" w:rsidP="007F3176">
      <w:pPr>
        <w:widowControl w:val="0"/>
        <w:autoSpaceDE w:val="0"/>
        <w:autoSpaceDN w:val="0"/>
        <w:adjustRightInd w:val="0"/>
        <w:spacing w:after="0" w:line="240" w:lineRule="auto"/>
        <w:ind w:firstLine="709"/>
        <w:jc w:val="both"/>
        <w:rPr>
          <w:rFonts w:ascii="Times New Roman" w:hAnsi="Times New Roman"/>
          <w:sz w:val="24"/>
          <w:szCs w:val="20"/>
        </w:rPr>
      </w:pPr>
      <w:r>
        <w:rPr>
          <w:rFonts w:ascii="Times New Roman" w:hAnsi="Times New Roman"/>
          <w:sz w:val="24"/>
          <w:szCs w:val="20"/>
        </w:rPr>
        <w:t>Оборот розничной торговли в сопоставимых ценах согласно прогнозу в 2015-</w:t>
      </w:r>
      <w:r>
        <w:rPr>
          <w:rFonts w:ascii="Times New Roman" w:hAnsi="Times New Roman"/>
          <w:sz w:val="24"/>
          <w:szCs w:val="20"/>
        </w:rPr>
        <w:br/>
        <w:t>2017 годах будет увеличиваться на 3,0-4,5 процента ежегодно, объем платных услуг, оказываемых населению – на 0,3-0,5 процента ежегодно.</w:t>
      </w:r>
    </w:p>
    <w:p w:rsidR="007F3176" w:rsidRPr="00180E0D" w:rsidRDefault="007F3176" w:rsidP="007F3176">
      <w:pPr>
        <w:widowControl w:val="0"/>
        <w:autoSpaceDE w:val="0"/>
        <w:autoSpaceDN w:val="0"/>
        <w:adjustRightInd w:val="0"/>
        <w:spacing w:after="0" w:line="240" w:lineRule="auto"/>
        <w:ind w:firstLine="709"/>
        <w:jc w:val="both"/>
        <w:rPr>
          <w:rFonts w:ascii="Times New Roman" w:hAnsi="Times New Roman"/>
          <w:sz w:val="24"/>
          <w:szCs w:val="20"/>
        </w:rPr>
      </w:pPr>
      <w:r w:rsidRPr="00E72F22">
        <w:rPr>
          <w:rFonts w:ascii="Times New Roman" w:hAnsi="Times New Roman"/>
          <w:sz w:val="24"/>
          <w:szCs w:val="20"/>
        </w:rPr>
        <w:t xml:space="preserve">Индекс потребительских цен </w:t>
      </w:r>
      <w:r>
        <w:rPr>
          <w:rFonts w:ascii="Times New Roman" w:hAnsi="Times New Roman"/>
          <w:sz w:val="24"/>
          <w:szCs w:val="20"/>
        </w:rPr>
        <w:t>за 2014</w:t>
      </w:r>
      <w:r w:rsidRPr="00180E0D">
        <w:rPr>
          <w:rFonts w:ascii="Times New Roman" w:hAnsi="Times New Roman"/>
          <w:sz w:val="24"/>
          <w:szCs w:val="20"/>
        </w:rPr>
        <w:t xml:space="preserve"> год</w:t>
      </w:r>
      <w:r>
        <w:rPr>
          <w:rFonts w:ascii="Times New Roman" w:hAnsi="Times New Roman"/>
          <w:sz w:val="24"/>
          <w:szCs w:val="20"/>
        </w:rPr>
        <w:t xml:space="preserve"> по оценке </w:t>
      </w:r>
      <w:r w:rsidRPr="00180E0D">
        <w:rPr>
          <w:rFonts w:ascii="Times New Roman" w:hAnsi="Times New Roman"/>
          <w:sz w:val="24"/>
          <w:szCs w:val="20"/>
        </w:rPr>
        <w:t>состави</w:t>
      </w:r>
      <w:r>
        <w:rPr>
          <w:rFonts w:ascii="Times New Roman" w:hAnsi="Times New Roman"/>
          <w:sz w:val="24"/>
          <w:szCs w:val="20"/>
        </w:rPr>
        <w:t>т</w:t>
      </w:r>
      <w:r w:rsidRPr="00180E0D">
        <w:rPr>
          <w:rFonts w:ascii="Times New Roman" w:hAnsi="Times New Roman"/>
          <w:sz w:val="24"/>
          <w:szCs w:val="20"/>
        </w:rPr>
        <w:t xml:space="preserve"> 10</w:t>
      </w:r>
      <w:r>
        <w:rPr>
          <w:rFonts w:ascii="Times New Roman" w:hAnsi="Times New Roman"/>
          <w:sz w:val="24"/>
          <w:szCs w:val="20"/>
        </w:rPr>
        <w:t>6</w:t>
      </w:r>
      <w:r w:rsidRPr="00180E0D">
        <w:rPr>
          <w:rFonts w:ascii="Times New Roman" w:hAnsi="Times New Roman"/>
          <w:sz w:val="24"/>
          <w:szCs w:val="20"/>
        </w:rPr>
        <w:t xml:space="preserve">,7 процента </w:t>
      </w:r>
      <w:r>
        <w:rPr>
          <w:rFonts w:ascii="Times New Roman" w:hAnsi="Times New Roman"/>
          <w:sz w:val="24"/>
          <w:szCs w:val="20"/>
        </w:rPr>
        <w:br/>
      </w:r>
      <w:r>
        <w:rPr>
          <w:rFonts w:ascii="Times New Roman" w:hAnsi="Times New Roman"/>
          <w:sz w:val="24"/>
          <w:szCs w:val="24"/>
        </w:rPr>
        <w:t>(за 2013</w:t>
      </w:r>
      <w:r w:rsidRPr="00180E0D">
        <w:rPr>
          <w:rFonts w:ascii="Times New Roman" w:hAnsi="Times New Roman"/>
          <w:sz w:val="24"/>
          <w:szCs w:val="24"/>
        </w:rPr>
        <w:t xml:space="preserve"> год – 107,</w:t>
      </w:r>
      <w:r>
        <w:rPr>
          <w:rFonts w:ascii="Times New Roman" w:hAnsi="Times New Roman"/>
          <w:sz w:val="24"/>
          <w:szCs w:val="24"/>
        </w:rPr>
        <w:t>7</w:t>
      </w:r>
      <w:r w:rsidRPr="00180E0D">
        <w:rPr>
          <w:rFonts w:ascii="Times New Roman" w:hAnsi="Times New Roman"/>
          <w:sz w:val="24"/>
          <w:szCs w:val="24"/>
        </w:rPr>
        <w:t xml:space="preserve"> процента)</w:t>
      </w:r>
      <w:r w:rsidRPr="00180E0D">
        <w:rPr>
          <w:rFonts w:ascii="Times New Roman" w:hAnsi="Times New Roman"/>
          <w:sz w:val="24"/>
          <w:szCs w:val="20"/>
        </w:rPr>
        <w:t>.</w:t>
      </w:r>
    </w:p>
    <w:p w:rsidR="007F3176" w:rsidRPr="0018454E" w:rsidRDefault="007F3176" w:rsidP="007F3176">
      <w:pPr>
        <w:widowControl w:val="0"/>
        <w:spacing w:after="0" w:line="240" w:lineRule="auto"/>
        <w:ind w:firstLine="709"/>
        <w:jc w:val="both"/>
        <w:rPr>
          <w:rFonts w:ascii="Times New Roman" w:hAnsi="Times New Roman"/>
          <w:sz w:val="24"/>
          <w:szCs w:val="24"/>
        </w:rPr>
      </w:pPr>
      <w:r w:rsidRPr="0018454E">
        <w:rPr>
          <w:rFonts w:ascii="Times New Roman" w:hAnsi="Times New Roman"/>
          <w:sz w:val="24"/>
          <w:szCs w:val="24"/>
        </w:rPr>
        <w:t xml:space="preserve">Данные об индексах потребительских цен, темпах роста тарифов на электроэнергию приведены на рисунке </w:t>
      </w:r>
      <w:r>
        <w:rPr>
          <w:rFonts w:ascii="Times New Roman" w:hAnsi="Times New Roman"/>
          <w:sz w:val="24"/>
          <w:szCs w:val="24"/>
        </w:rPr>
        <w:t>3.</w:t>
      </w:r>
    </w:p>
    <w:p w:rsidR="007F3176" w:rsidRDefault="007F3176" w:rsidP="007F3176">
      <w:pPr>
        <w:widowControl w:val="0"/>
        <w:autoSpaceDE w:val="0"/>
        <w:autoSpaceDN w:val="0"/>
        <w:adjustRightInd w:val="0"/>
        <w:spacing w:after="0" w:line="240" w:lineRule="auto"/>
        <w:ind w:firstLine="709"/>
        <w:jc w:val="both"/>
        <w:rPr>
          <w:rFonts w:ascii="Times New Roman" w:hAnsi="Times New Roman"/>
          <w:sz w:val="24"/>
          <w:szCs w:val="20"/>
        </w:rPr>
      </w:pPr>
      <w:r>
        <w:rPr>
          <w:rFonts w:ascii="Times New Roman" w:hAnsi="Times New Roman"/>
          <w:sz w:val="24"/>
          <w:szCs w:val="20"/>
        </w:rPr>
        <w:t>Несмотря на более высокий, чем в целом по России уровень, в 2015-2017 годах в Амурской области ожидается снижение индекса потребительских цен с достижением уровня 104,4-104,3 процента в 2017 году относительно 2016 года (по вариантам 1 и 2, соответственно).</w:t>
      </w:r>
    </w:p>
    <w:p w:rsidR="007F3176" w:rsidRDefault="007F3176" w:rsidP="007F3176">
      <w:pPr>
        <w:widowControl w:val="0"/>
        <w:autoSpaceDE w:val="0"/>
        <w:autoSpaceDN w:val="0"/>
        <w:adjustRightInd w:val="0"/>
        <w:spacing w:after="0" w:line="240" w:lineRule="auto"/>
        <w:ind w:firstLine="709"/>
        <w:jc w:val="both"/>
        <w:rPr>
          <w:rFonts w:ascii="Times New Roman" w:hAnsi="Times New Roman"/>
          <w:sz w:val="24"/>
          <w:szCs w:val="20"/>
        </w:rPr>
      </w:pPr>
    </w:p>
    <w:p w:rsidR="007F3176" w:rsidRPr="00180E0D" w:rsidRDefault="007F3176" w:rsidP="007F3176">
      <w:pPr>
        <w:widowControl w:val="0"/>
        <w:autoSpaceDE w:val="0"/>
        <w:autoSpaceDN w:val="0"/>
        <w:adjustRightInd w:val="0"/>
        <w:spacing w:after="0" w:line="240" w:lineRule="auto"/>
        <w:ind w:firstLine="709"/>
        <w:jc w:val="both"/>
        <w:rPr>
          <w:rFonts w:ascii="Times New Roman" w:hAnsi="Times New Roman"/>
          <w:sz w:val="24"/>
          <w:szCs w:val="20"/>
        </w:rPr>
      </w:pPr>
    </w:p>
    <w:p w:rsidR="007F3176" w:rsidRPr="00492137" w:rsidRDefault="007F3176" w:rsidP="007F3176">
      <w:pPr>
        <w:widowControl w:val="0"/>
        <w:spacing w:after="0" w:line="240" w:lineRule="auto"/>
        <w:jc w:val="both"/>
        <w:rPr>
          <w:rFonts w:ascii="Times New Roman" w:hAnsi="Times New Roman"/>
          <w:sz w:val="28"/>
          <w:szCs w:val="28"/>
        </w:rPr>
      </w:pPr>
      <w:r w:rsidRPr="0031794C">
        <w:rPr>
          <w:rFonts w:ascii="Times New Roman" w:hAnsi="Times New Roman"/>
          <w:noProof/>
          <w:color w:val="FF0000"/>
          <w:sz w:val="28"/>
          <w:szCs w:val="28"/>
        </w:rPr>
        <w:lastRenderedPageBreak/>
        <w:drawing>
          <wp:inline distT="0" distB="0" distL="0" distR="0" wp14:anchorId="19E41119" wp14:editId="5D70BC54">
            <wp:extent cx="6134100" cy="23907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176" w:rsidRDefault="007F3176" w:rsidP="007F3176">
      <w:pPr>
        <w:widowControl w:val="0"/>
        <w:spacing w:after="0" w:line="240" w:lineRule="auto"/>
        <w:jc w:val="center"/>
        <w:rPr>
          <w:rFonts w:ascii="Times New Roman" w:hAnsi="Times New Roman"/>
          <w:b/>
          <w:sz w:val="24"/>
          <w:szCs w:val="24"/>
        </w:rPr>
      </w:pPr>
    </w:p>
    <w:p w:rsidR="007F3176" w:rsidRDefault="007F3176" w:rsidP="007F3176">
      <w:pPr>
        <w:widowControl w:val="0"/>
        <w:spacing w:after="0" w:line="240" w:lineRule="auto"/>
        <w:jc w:val="center"/>
        <w:rPr>
          <w:rFonts w:ascii="Times New Roman" w:hAnsi="Times New Roman"/>
          <w:b/>
          <w:sz w:val="24"/>
          <w:szCs w:val="24"/>
        </w:rPr>
      </w:pPr>
      <w:r w:rsidRPr="003957AF">
        <w:rPr>
          <w:rFonts w:ascii="Times New Roman" w:hAnsi="Times New Roman"/>
          <w:b/>
          <w:sz w:val="24"/>
          <w:szCs w:val="24"/>
        </w:rPr>
        <w:t xml:space="preserve">Рис. </w:t>
      </w:r>
      <w:r>
        <w:rPr>
          <w:rFonts w:ascii="Times New Roman" w:hAnsi="Times New Roman"/>
          <w:b/>
          <w:sz w:val="24"/>
          <w:szCs w:val="24"/>
        </w:rPr>
        <w:t>3</w:t>
      </w:r>
      <w:r w:rsidRPr="003957AF">
        <w:rPr>
          <w:rFonts w:ascii="Times New Roman" w:hAnsi="Times New Roman"/>
          <w:b/>
          <w:sz w:val="24"/>
          <w:szCs w:val="24"/>
        </w:rPr>
        <w:t xml:space="preserve"> - Индексы потребительских цен, темп прироста тарифов на электроэнергию </w:t>
      </w:r>
      <w:r w:rsidRPr="003957AF">
        <w:rPr>
          <w:rFonts w:ascii="Times New Roman" w:hAnsi="Times New Roman"/>
          <w:b/>
          <w:sz w:val="24"/>
          <w:szCs w:val="24"/>
        </w:rPr>
        <w:br/>
        <w:t xml:space="preserve">(по варианту </w:t>
      </w:r>
      <w:r>
        <w:rPr>
          <w:rFonts w:ascii="Times New Roman" w:hAnsi="Times New Roman"/>
          <w:b/>
          <w:sz w:val="24"/>
          <w:szCs w:val="24"/>
        </w:rPr>
        <w:t>1</w:t>
      </w:r>
      <w:r w:rsidRPr="003957AF">
        <w:rPr>
          <w:rFonts w:ascii="Times New Roman" w:hAnsi="Times New Roman"/>
          <w:b/>
          <w:sz w:val="24"/>
          <w:szCs w:val="24"/>
        </w:rPr>
        <w:t>)</w:t>
      </w:r>
    </w:p>
    <w:p w:rsidR="007F3176" w:rsidRDefault="007F3176" w:rsidP="007F3176">
      <w:pPr>
        <w:widowControl w:val="0"/>
        <w:spacing w:after="0" w:line="240" w:lineRule="auto"/>
        <w:ind w:firstLine="709"/>
        <w:jc w:val="both"/>
        <w:rPr>
          <w:rFonts w:ascii="Times New Roman" w:hAnsi="Times New Roman"/>
          <w:sz w:val="24"/>
          <w:szCs w:val="24"/>
        </w:rPr>
      </w:pPr>
      <w:r w:rsidRPr="00C60AC6">
        <w:rPr>
          <w:rFonts w:ascii="Times New Roman" w:hAnsi="Times New Roman"/>
          <w:sz w:val="24"/>
          <w:szCs w:val="24"/>
        </w:rPr>
        <w:t>Прогнозируемый индекс роста тарифов на электроэнергию, отпущенную различным категориям потребителей, составляет</w:t>
      </w:r>
      <w:r>
        <w:rPr>
          <w:rFonts w:ascii="Times New Roman" w:hAnsi="Times New Roman"/>
          <w:sz w:val="24"/>
          <w:szCs w:val="24"/>
        </w:rPr>
        <w:t xml:space="preserve"> соответственно по первому и второму вариантам</w:t>
      </w:r>
      <w:r w:rsidRPr="00C60AC6">
        <w:rPr>
          <w:rFonts w:ascii="Times New Roman" w:hAnsi="Times New Roman"/>
          <w:sz w:val="24"/>
          <w:szCs w:val="24"/>
        </w:rPr>
        <w:t xml:space="preserve">: </w:t>
      </w:r>
      <w:r>
        <w:rPr>
          <w:rFonts w:ascii="Times New Roman" w:hAnsi="Times New Roman"/>
          <w:sz w:val="24"/>
          <w:szCs w:val="24"/>
        </w:rPr>
        <w:br/>
        <w:t>2015</w:t>
      </w:r>
      <w:r w:rsidRPr="00C60AC6">
        <w:rPr>
          <w:rFonts w:ascii="Times New Roman" w:hAnsi="Times New Roman"/>
          <w:sz w:val="24"/>
          <w:szCs w:val="24"/>
        </w:rPr>
        <w:t xml:space="preserve"> год – </w:t>
      </w:r>
      <w:r>
        <w:rPr>
          <w:rFonts w:ascii="Times New Roman" w:hAnsi="Times New Roman"/>
          <w:sz w:val="24"/>
          <w:szCs w:val="24"/>
        </w:rPr>
        <w:t>108,2</w:t>
      </w:r>
      <w:r w:rsidRPr="00C60AC6">
        <w:rPr>
          <w:rFonts w:ascii="Times New Roman" w:hAnsi="Times New Roman"/>
          <w:sz w:val="24"/>
          <w:szCs w:val="24"/>
        </w:rPr>
        <w:t>-</w:t>
      </w:r>
      <w:r>
        <w:rPr>
          <w:rFonts w:ascii="Times New Roman" w:hAnsi="Times New Roman"/>
          <w:sz w:val="24"/>
          <w:szCs w:val="24"/>
        </w:rPr>
        <w:t>108,4</w:t>
      </w:r>
      <w:r w:rsidRPr="00C60AC6">
        <w:rPr>
          <w:rFonts w:ascii="Times New Roman" w:hAnsi="Times New Roman"/>
          <w:sz w:val="24"/>
          <w:szCs w:val="24"/>
        </w:rPr>
        <w:t xml:space="preserve"> процента, </w:t>
      </w:r>
      <w:r>
        <w:rPr>
          <w:rFonts w:ascii="Times New Roman" w:hAnsi="Times New Roman"/>
          <w:sz w:val="24"/>
          <w:szCs w:val="24"/>
        </w:rPr>
        <w:t>2016</w:t>
      </w:r>
      <w:r w:rsidRPr="00C60AC6">
        <w:rPr>
          <w:rFonts w:ascii="Times New Roman" w:hAnsi="Times New Roman"/>
          <w:sz w:val="24"/>
          <w:szCs w:val="24"/>
        </w:rPr>
        <w:t xml:space="preserve"> год – 1</w:t>
      </w:r>
      <w:r>
        <w:rPr>
          <w:rFonts w:ascii="Times New Roman" w:hAnsi="Times New Roman"/>
          <w:sz w:val="24"/>
          <w:szCs w:val="24"/>
        </w:rPr>
        <w:t>09</w:t>
      </w:r>
      <w:r w:rsidRPr="00C60AC6">
        <w:rPr>
          <w:rFonts w:ascii="Times New Roman" w:hAnsi="Times New Roman"/>
          <w:sz w:val="24"/>
          <w:szCs w:val="24"/>
        </w:rPr>
        <w:t>,0-1</w:t>
      </w:r>
      <w:r>
        <w:rPr>
          <w:rFonts w:ascii="Times New Roman" w:hAnsi="Times New Roman"/>
          <w:sz w:val="24"/>
          <w:szCs w:val="24"/>
        </w:rPr>
        <w:t>09,2 процента</w:t>
      </w:r>
      <w:r w:rsidRPr="00C60AC6">
        <w:rPr>
          <w:rFonts w:ascii="Times New Roman" w:hAnsi="Times New Roman"/>
          <w:sz w:val="24"/>
          <w:szCs w:val="24"/>
        </w:rPr>
        <w:t xml:space="preserve">, </w:t>
      </w:r>
      <w:r>
        <w:rPr>
          <w:rFonts w:ascii="Times New Roman" w:hAnsi="Times New Roman"/>
          <w:sz w:val="24"/>
          <w:szCs w:val="24"/>
        </w:rPr>
        <w:t>2017</w:t>
      </w:r>
      <w:r w:rsidRPr="00C60AC6">
        <w:rPr>
          <w:rFonts w:ascii="Times New Roman" w:hAnsi="Times New Roman"/>
          <w:sz w:val="24"/>
          <w:szCs w:val="24"/>
        </w:rPr>
        <w:t xml:space="preserve"> год – </w:t>
      </w:r>
      <w:r>
        <w:rPr>
          <w:rFonts w:ascii="Times New Roman" w:hAnsi="Times New Roman"/>
          <w:sz w:val="24"/>
          <w:szCs w:val="24"/>
        </w:rPr>
        <w:br/>
      </w:r>
      <w:r w:rsidRPr="00C60AC6">
        <w:rPr>
          <w:rFonts w:ascii="Times New Roman" w:hAnsi="Times New Roman"/>
          <w:sz w:val="24"/>
          <w:szCs w:val="24"/>
        </w:rPr>
        <w:t>10</w:t>
      </w:r>
      <w:r>
        <w:rPr>
          <w:rFonts w:ascii="Times New Roman" w:hAnsi="Times New Roman"/>
          <w:sz w:val="24"/>
          <w:szCs w:val="24"/>
        </w:rPr>
        <w:t>8,0</w:t>
      </w:r>
      <w:r w:rsidRPr="00C60AC6">
        <w:rPr>
          <w:rFonts w:ascii="Times New Roman" w:hAnsi="Times New Roman"/>
          <w:sz w:val="24"/>
          <w:szCs w:val="24"/>
        </w:rPr>
        <w:t>-108</w:t>
      </w:r>
      <w:r>
        <w:rPr>
          <w:rFonts w:ascii="Times New Roman" w:hAnsi="Times New Roman"/>
          <w:sz w:val="24"/>
          <w:szCs w:val="24"/>
        </w:rPr>
        <w:t>,3</w:t>
      </w:r>
      <w:r w:rsidRPr="00C60AC6">
        <w:rPr>
          <w:rFonts w:ascii="Times New Roman" w:hAnsi="Times New Roman"/>
          <w:sz w:val="24"/>
          <w:szCs w:val="24"/>
        </w:rPr>
        <w:t xml:space="preserve"> процент</w:t>
      </w:r>
      <w:r>
        <w:rPr>
          <w:rFonts w:ascii="Times New Roman" w:hAnsi="Times New Roman"/>
          <w:sz w:val="24"/>
          <w:szCs w:val="24"/>
        </w:rPr>
        <w:t>а</w:t>
      </w:r>
      <w:r w:rsidRPr="00C60AC6">
        <w:rPr>
          <w:rFonts w:ascii="Times New Roman" w:hAnsi="Times New Roman"/>
          <w:sz w:val="24"/>
          <w:szCs w:val="24"/>
        </w:rPr>
        <w:t>.</w:t>
      </w:r>
    </w:p>
    <w:p w:rsidR="007F3176" w:rsidRPr="00C60AC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Согласно пояснительной записке к прогнозу, увеличение тарифов на электрическую энергию обусловлено ростом заработной платы, определенным Отраслевым тарифным соглашением в электроэнергетике, увеличением в этой связи отчислений во внебюджетные фонды, ростом цен на топливо и иных составляющих себестоимости производства, передачи и реализации электрической энергии.</w:t>
      </w:r>
    </w:p>
    <w:p w:rsidR="007F3176" w:rsidRDefault="007F3176" w:rsidP="007F3176">
      <w:pPr>
        <w:widowControl w:val="0"/>
        <w:spacing w:after="0" w:line="240" w:lineRule="auto"/>
        <w:ind w:firstLine="709"/>
        <w:jc w:val="both"/>
        <w:rPr>
          <w:rFonts w:ascii="Times New Roman" w:hAnsi="Times New Roman"/>
          <w:sz w:val="24"/>
          <w:szCs w:val="24"/>
        </w:rPr>
      </w:pPr>
      <w:r w:rsidRPr="006608DD">
        <w:rPr>
          <w:rFonts w:ascii="Times New Roman" w:hAnsi="Times New Roman"/>
          <w:sz w:val="24"/>
          <w:szCs w:val="24"/>
        </w:rPr>
        <w:t>Соотношение денежных доходов в среднем на душу населения в месяц, величины прожиточного минимума</w:t>
      </w:r>
      <w:r>
        <w:rPr>
          <w:rFonts w:ascii="Times New Roman" w:hAnsi="Times New Roman"/>
          <w:sz w:val="24"/>
          <w:szCs w:val="24"/>
        </w:rPr>
        <w:t xml:space="preserve">, а также </w:t>
      </w:r>
      <w:r w:rsidRPr="006608DD">
        <w:rPr>
          <w:rFonts w:ascii="Times New Roman" w:hAnsi="Times New Roman"/>
          <w:sz w:val="24"/>
          <w:szCs w:val="24"/>
        </w:rPr>
        <w:t xml:space="preserve">численность населения с доходами ниже прожиточного минимума приведены на рисунке </w:t>
      </w:r>
      <w:r>
        <w:rPr>
          <w:rFonts w:ascii="Times New Roman" w:hAnsi="Times New Roman"/>
          <w:sz w:val="24"/>
          <w:szCs w:val="24"/>
        </w:rPr>
        <w:t>4</w:t>
      </w:r>
      <w:r w:rsidRPr="006608DD">
        <w:rPr>
          <w:rFonts w:ascii="Times New Roman" w:hAnsi="Times New Roman"/>
          <w:sz w:val="24"/>
          <w:szCs w:val="24"/>
        </w:rPr>
        <w:t>.</w:t>
      </w:r>
    </w:p>
    <w:p w:rsidR="007F3176" w:rsidRPr="006608DD" w:rsidRDefault="007F3176" w:rsidP="007F3176">
      <w:pPr>
        <w:widowControl w:val="0"/>
        <w:autoSpaceDE w:val="0"/>
        <w:autoSpaceDN w:val="0"/>
        <w:adjustRightInd w:val="0"/>
        <w:spacing w:after="0" w:line="240" w:lineRule="auto"/>
        <w:jc w:val="both"/>
        <w:rPr>
          <w:rFonts w:ascii="Times New Roman" w:hAnsi="Times New Roman"/>
          <w:sz w:val="24"/>
          <w:szCs w:val="24"/>
        </w:rPr>
      </w:pPr>
      <w:r w:rsidRPr="006608DD">
        <w:rPr>
          <w:rFonts w:eastAsia="Calibri"/>
          <w:noProof/>
          <w:shd w:val="clear" w:color="auto" w:fill="92D050"/>
        </w:rPr>
        <w:drawing>
          <wp:inline distT="0" distB="0" distL="0" distR="0" wp14:anchorId="0B6DC7B0" wp14:editId="0D925799">
            <wp:extent cx="6324600" cy="3524250"/>
            <wp:effectExtent l="0" t="0" r="0"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176" w:rsidRDefault="007F3176" w:rsidP="007F3176">
      <w:pPr>
        <w:widowControl w:val="0"/>
        <w:autoSpaceDE w:val="0"/>
        <w:autoSpaceDN w:val="0"/>
        <w:adjustRightInd w:val="0"/>
        <w:spacing w:after="0" w:line="240" w:lineRule="auto"/>
        <w:jc w:val="center"/>
        <w:rPr>
          <w:rFonts w:ascii="Times New Roman" w:hAnsi="Times New Roman"/>
          <w:b/>
          <w:sz w:val="24"/>
          <w:szCs w:val="24"/>
        </w:rPr>
      </w:pPr>
    </w:p>
    <w:p w:rsidR="007F3176" w:rsidRPr="006608DD" w:rsidRDefault="007F3176" w:rsidP="007F317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Рис. 4</w:t>
      </w:r>
      <w:r w:rsidRPr="006608DD">
        <w:rPr>
          <w:rFonts w:ascii="Times New Roman" w:hAnsi="Times New Roman"/>
          <w:b/>
          <w:sz w:val="24"/>
          <w:szCs w:val="24"/>
        </w:rPr>
        <w:t xml:space="preserve"> - Денежные доходы в среднем на душу населения в месяц, величина прожиточного минимума и доля населения с доходами ниже прожиточного ми</w:t>
      </w:r>
      <w:r>
        <w:rPr>
          <w:rFonts w:ascii="Times New Roman" w:hAnsi="Times New Roman"/>
          <w:b/>
          <w:sz w:val="24"/>
          <w:szCs w:val="24"/>
        </w:rPr>
        <w:t>нимума в Амурской области, в соответствии с вариантом 1, в 2013</w:t>
      </w:r>
      <w:r w:rsidRPr="006608DD">
        <w:rPr>
          <w:rFonts w:ascii="Times New Roman" w:hAnsi="Times New Roman"/>
          <w:b/>
          <w:sz w:val="24"/>
          <w:szCs w:val="24"/>
        </w:rPr>
        <w:t>-201</w:t>
      </w:r>
      <w:r>
        <w:rPr>
          <w:rFonts w:ascii="Times New Roman" w:hAnsi="Times New Roman"/>
          <w:b/>
          <w:sz w:val="24"/>
          <w:szCs w:val="24"/>
        </w:rPr>
        <w:t>7</w:t>
      </w:r>
      <w:r w:rsidRPr="006608DD">
        <w:rPr>
          <w:rFonts w:ascii="Times New Roman" w:hAnsi="Times New Roman"/>
          <w:b/>
          <w:sz w:val="24"/>
          <w:szCs w:val="24"/>
        </w:rPr>
        <w:t xml:space="preserve"> годах</w:t>
      </w:r>
    </w:p>
    <w:p w:rsidR="007F3176" w:rsidRPr="00CE4A67"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прогнозируемом периоде денежные доходы будут превышать денежные расходы на 5335,61-10060,79 млн. рублей.</w:t>
      </w:r>
    </w:p>
    <w:p w:rsidR="007F3176" w:rsidRDefault="007F3176" w:rsidP="007F3176">
      <w:pPr>
        <w:spacing w:after="0" w:line="240" w:lineRule="auto"/>
        <w:ind w:firstLine="748"/>
        <w:jc w:val="both"/>
        <w:rPr>
          <w:rFonts w:ascii="Times New Roman" w:hAnsi="Times New Roman"/>
          <w:sz w:val="24"/>
          <w:szCs w:val="24"/>
        </w:rPr>
      </w:pPr>
      <w:r w:rsidRPr="00876FE9">
        <w:rPr>
          <w:rFonts w:ascii="Times New Roman" w:hAnsi="Times New Roman"/>
          <w:sz w:val="24"/>
          <w:szCs w:val="24"/>
        </w:rPr>
        <w:t>В 201</w:t>
      </w:r>
      <w:r>
        <w:rPr>
          <w:rFonts w:ascii="Times New Roman" w:hAnsi="Times New Roman"/>
          <w:sz w:val="24"/>
          <w:szCs w:val="24"/>
        </w:rPr>
        <w:t>3</w:t>
      </w:r>
      <w:r w:rsidRPr="00876FE9">
        <w:rPr>
          <w:rFonts w:ascii="Times New Roman" w:hAnsi="Times New Roman"/>
          <w:sz w:val="24"/>
          <w:szCs w:val="24"/>
        </w:rPr>
        <w:t xml:space="preserve"> году численность населения с доходами ниже прожиточного минимума составляла 1</w:t>
      </w:r>
      <w:r>
        <w:rPr>
          <w:rFonts w:ascii="Times New Roman" w:hAnsi="Times New Roman"/>
          <w:sz w:val="24"/>
          <w:szCs w:val="24"/>
        </w:rPr>
        <w:t>5</w:t>
      </w:r>
      <w:r w:rsidRPr="00876FE9">
        <w:rPr>
          <w:rFonts w:ascii="Times New Roman" w:hAnsi="Times New Roman"/>
          <w:sz w:val="24"/>
          <w:szCs w:val="24"/>
        </w:rPr>
        <w:t>,</w:t>
      </w:r>
      <w:r>
        <w:rPr>
          <w:rFonts w:ascii="Times New Roman" w:hAnsi="Times New Roman"/>
          <w:sz w:val="24"/>
          <w:szCs w:val="24"/>
        </w:rPr>
        <w:t>7</w:t>
      </w:r>
      <w:r w:rsidRPr="00876FE9">
        <w:rPr>
          <w:rFonts w:ascii="Times New Roman" w:hAnsi="Times New Roman"/>
          <w:sz w:val="24"/>
          <w:szCs w:val="24"/>
        </w:rPr>
        <w:t xml:space="preserve"> процента общей численности населения области. </w:t>
      </w:r>
      <w:r>
        <w:rPr>
          <w:rFonts w:ascii="Times New Roman" w:hAnsi="Times New Roman"/>
          <w:sz w:val="24"/>
          <w:szCs w:val="24"/>
        </w:rPr>
        <w:t>После снижения в</w:t>
      </w:r>
      <w:r>
        <w:rPr>
          <w:rFonts w:ascii="Times New Roman" w:hAnsi="Times New Roman"/>
          <w:sz w:val="24"/>
          <w:szCs w:val="24"/>
        </w:rPr>
        <w:br/>
        <w:t>2014 году по оценке до 15,5 процента, в</w:t>
      </w:r>
      <w:r w:rsidRPr="00876FE9">
        <w:rPr>
          <w:rFonts w:ascii="Times New Roman" w:hAnsi="Times New Roman"/>
          <w:sz w:val="24"/>
          <w:szCs w:val="24"/>
        </w:rPr>
        <w:t xml:space="preserve"> </w:t>
      </w:r>
      <w:r>
        <w:rPr>
          <w:rFonts w:ascii="Times New Roman" w:hAnsi="Times New Roman"/>
          <w:sz w:val="24"/>
          <w:szCs w:val="24"/>
        </w:rPr>
        <w:t>прогнозируемом периоде ожидается по первому варианту рост данного показателя в 2017 году до 15,7 процента, а по второму варианту дальнейшее снижение до 15,0 процентов.</w:t>
      </w:r>
    </w:p>
    <w:p w:rsidR="007F3176" w:rsidRDefault="007F3176" w:rsidP="007F3176">
      <w:pPr>
        <w:autoSpaceDE w:val="0"/>
        <w:autoSpaceDN w:val="0"/>
        <w:adjustRightInd w:val="0"/>
        <w:spacing w:after="0" w:line="240" w:lineRule="auto"/>
        <w:ind w:firstLine="709"/>
        <w:jc w:val="both"/>
        <w:rPr>
          <w:rFonts w:ascii="TimesNewRomanPS-BoldMT" w:eastAsiaTheme="minorHAnsi" w:hAnsi="TimesNewRomanPS-BoldMT" w:cs="TimesNewRomanPS-BoldMT"/>
          <w:b/>
          <w:bCs/>
          <w:sz w:val="24"/>
          <w:szCs w:val="24"/>
          <w:lang w:eastAsia="en-US"/>
        </w:rPr>
      </w:pPr>
      <w:r w:rsidRPr="007B6C83">
        <w:rPr>
          <w:rFonts w:ascii="TimesNewRomanPSMT" w:eastAsiaTheme="minorHAnsi" w:hAnsi="TimesNewRomanPSMT" w:cs="TimesNewRomanPSMT"/>
          <w:b/>
          <w:sz w:val="24"/>
          <w:szCs w:val="24"/>
          <w:lang w:eastAsia="en-US"/>
        </w:rPr>
        <w:t xml:space="preserve">Согласно заключению Счетной палаты Российской Федерации на проект федерального закона «О федеральном бюджете на 2015 год и на плановый период </w:t>
      </w:r>
      <w:r>
        <w:rPr>
          <w:rFonts w:ascii="TimesNewRomanPSMT" w:eastAsiaTheme="minorHAnsi" w:hAnsi="TimesNewRomanPSMT" w:cs="TimesNewRomanPSMT"/>
          <w:b/>
          <w:sz w:val="24"/>
          <w:szCs w:val="24"/>
          <w:lang w:eastAsia="en-US"/>
        </w:rPr>
        <w:br/>
      </w:r>
      <w:r w:rsidRPr="007B6C83">
        <w:rPr>
          <w:rFonts w:ascii="TimesNewRomanPSMT" w:eastAsiaTheme="minorHAnsi" w:hAnsi="TimesNewRomanPSMT" w:cs="TimesNewRomanPSMT"/>
          <w:b/>
          <w:sz w:val="24"/>
          <w:szCs w:val="24"/>
          <w:lang w:eastAsia="en-US"/>
        </w:rPr>
        <w:t xml:space="preserve">2016 и 2017 годов» </w:t>
      </w:r>
      <w:r>
        <w:rPr>
          <w:rFonts w:ascii="TimesNewRomanPSMT" w:eastAsiaTheme="minorHAnsi" w:hAnsi="TimesNewRomanPSMT" w:cs="TimesNewRomanPSMT"/>
          <w:b/>
          <w:sz w:val="24"/>
          <w:szCs w:val="24"/>
          <w:lang w:eastAsia="en-US"/>
        </w:rPr>
        <w:t>Амурская</w:t>
      </w:r>
      <w:r w:rsidRPr="007B6C83">
        <w:rPr>
          <w:rFonts w:ascii="TimesNewRomanPSMT" w:eastAsiaTheme="minorHAnsi" w:hAnsi="TimesNewRomanPSMT" w:cs="TimesNewRomanPSMT"/>
          <w:b/>
          <w:sz w:val="24"/>
          <w:szCs w:val="24"/>
          <w:lang w:eastAsia="en-US"/>
        </w:rPr>
        <w:t xml:space="preserve"> област</w:t>
      </w:r>
      <w:r>
        <w:rPr>
          <w:rFonts w:ascii="TimesNewRomanPSMT" w:eastAsiaTheme="minorHAnsi" w:hAnsi="TimesNewRomanPSMT" w:cs="TimesNewRomanPSMT"/>
          <w:b/>
          <w:sz w:val="24"/>
          <w:szCs w:val="24"/>
          <w:lang w:eastAsia="en-US"/>
        </w:rPr>
        <w:t>ь – единственный субъект Российской Федерации, в котором не</w:t>
      </w:r>
      <w:r w:rsidRPr="007B6C83">
        <w:rPr>
          <w:rFonts w:ascii="TimesNewRomanPSMT" w:eastAsiaTheme="minorHAnsi" w:hAnsi="TimesNewRomanPSMT" w:cs="TimesNewRomanPSMT"/>
          <w:b/>
          <w:sz w:val="24"/>
          <w:szCs w:val="24"/>
          <w:lang w:eastAsia="en-US"/>
        </w:rPr>
        <w:t xml:space="preserve"> ожидается снижение </w:t>
      </w:r>
      <w:r>
        <w:rPr>
          <w:rFonts w:ascii="TimesNewRomanPS-BoldMT" w:eastAsiaTheme="minorHAnsi" w:hAnsi="TimesNewRomanPS-BoldMT" w:cs="TimesNewRomanPS-BoldMT"/>
          <w:b/>
          <w:bCs/>
          <w:sz w:val="24"/>
          <w:szCs w:val="24"/>
          <w:lang w:eastAsia="en-US"/>
        </w:rPr>
        <w:t>доли населения с денежными доходами ниже прожиточного минимума.</w:t>
      </w:r>
    </w:p>
    <w:p w:rsidR="007F3176" w:rsidRDefault="007F3176" w:rsidP="007F3176">
      <w:pPr>
        <w:widowControl w:val="0"/>
        <w:autoSpaceDE w:val="0"/>
        <w:autoSpaceDN w:val="0"/>
        <w:adjustRightInd w:val="0"/>
        <w:spacing w:after="0" w:line="240" w:lineRule="auto"/>
        <w:ind w:firstLine="709"/>
        <w:jc w:val="both"/>
        <w:rPr>
          <w:rFonts w:ascii="Times New Roman" w:hAnsi="Times New Roman"/>
          <w:sz w:val="24"/>
          <w:szCs w:val="24"/>
        </w:rPr>
      </w:pPr>
    </w:p>
    <w:p w:rsidR="007F3176" w:rsidRPr="00970212" w:rsidRDefault="007F3176" w:rsidP="007F3176">
      <w:pPr>
        <w:widowControl w:val="0"/>
        <w:spacing w:after="0" w:line="240" w:lineRule="auto"/>
        <w:ind w:firstLine="680"/>
        <w:jc w:val="both"/>
        <w:rPr>
          <w:rFonts w:ascii="Times New Roman" w:hAnsi="Times New Roman"/>
          <w:sz w:val="24"/>
          <w:szCs w:val="24"/>
        </w:rPr>
      </w:pPr>
      <w:r w:rsidRPr="00970212">
        <w:rPr>
          <w:rFonts w:ascii="Times New Roman" w:hAnsi="Times New Roman"/>
          <w:sz w:val="24"/>
          <w:szCs w:val="24"/>
        </w:rPr>
        <w:t>Согласно прогнозу социально-экономического развития Российской Федерации на 2015 год и на плановый период 2016 и 2017 годов в</w:t>
      </w:r>
      <w:r>
        <w:rPr>
          <w:rFonts w:ascii="Times New Roman" w:hAnsi="Times New Roman"/>
          <w:sz w:val="24"/>
          <w:szCs w:val="24"/>
        </w:rPr>
        <w:t xml:space="preserve"> 2015</w:t>
      </w:r>
      <w:r w:rsidRPr="00970212">
        <w:rPr>
          <w:rFonts w:ascii="Times New Roman" w:hAnsi="Times New Roman"/>
          <w:sz w:val="24"/>
          <w:szCs w:val="24"/>
        </w:rPr>
        <w:t xml:space="preserve">–2017 годах ожидается замедление темпов роста экономики по сравнению с предшествующими периодами: реальный объем ВВП увеличится лишь на </w:t>
      </w:r>
      <w:r>
        <w:rPr>
          <w:rFonts w:ascii="Times New Roman" w:hAnsi="Times New Roman"/>
          <w:sz w:val="24"/>
          <w:szCs w:val="24"/>
        </w:rPr>
        <w:t>6</w:t>
      </w:r>
      <w:r w:rsidRPr="00970212">
        <w:rPr>
          <w:rFonts w:ascii="Times New Roman" w:hAnsi="Times New Roman"/>
          <w:sz w:val="24"/>
          <w:szCs w:val="24"/>
        </w:rPr>
        <w:t>,</w:t>
      </w:r>
      <w:r>
        <w:rPr>
          <w:rFonts w:ascii="Times New Roman" w:hAnsi="Times New Roman"/>
          <w:sz w:val="24"/>
          <w:szCs w:val="24"/>
        </w:rPr>
        <w:t>6</w:t>
      </w:r>
      <w:r w:rsidRPr="00970212">
        <w:rPr>
          <w:rFonts w:ascii="Times New Roman" w:hAnsi="Times New Roman"/>
          <w:sz w:val="24"/>
          <w:szCs w:val="24"/>
        </w:rPr>
        <w:t xml:space="preserve"> %, его рост будет значительно ниже, чем в докризисный период (за 2006–2008 годы – на 23,5 %), и меньше, чем в период 2011–2013 годов (прирост на </w:t>
      </w:r>
      <w:r>
        <w:rPr>
          <w:rFonts w:ascii="Times New Roman" w:hAnsi="Times New Roman"/>
          <w:sz w:val="24"/>
          <w:szCs w:val="24"/>
        </w:rPr>
        <w:br/>
      </w:r>
      <w:r w:rsidRPr="00970212">
        <w:rPr>
          <w:rFonts w:ascii="Times New Roman" w:hAnsi="Times New Roman"/>
          <w:sz w:val="24"/>
          <w:szCs w:val="24"/>
        </w:rPr>
        <w:t>9,2 %).</w:t>
      </w:r>
    </w:p>
    <w:p w:rsidR="007F3176" w:rsidRDefault="007F3176" w:rsidP="007F3176">
      <w:pPr>
        <w:autoSpaceDE w:val="0"/>
        <w:autoSpaceDN w:val="0"/>
        <w:adjustRightInd w:val="0"/>
        <w:spacing w:after="0" w:line="240" w:lineRule="auto"/>
        <w:ind w:firstLine="709"/>
        <w:jc w:val="both"/>
        <w:outlineLvl w:val="0"/>
        <w:rPr>
          <w:rFonts w:ascii="Times New Roman" w:hAnsi="Times New Roman"/>
          <w:bCs/>
          <w:sz w:val="24"/>
          <w:szCs w:val="24"/>
        </w:rPr>
      </w:pPr>
      <w:r>
        <w:rPr>
          <w:rFonts w:ascii="Times New Roman" w:hAnsi="Times New Roman"/>
          <w:bCs/>
          <w:sz w:val="24"/>
          <w:szCs w:val="24"/>
        </w:rPr>
        <w:t>О</w:t>
      </w:r>
      <w:r w:rsidRPr="00710CE3">
        <w:rPr>
          <w:rFonts w:ascii="Times New Roman" w:hAnsi="Times New Roman"/>
          <w:bCs/>
          <w:sz w:val="24"/>
          <w:szCs w:val="24"/>
        </w:rPr>
        <w:t>бъем валового регионального продукта (далее – ВРП) за 201</w:t>
      </w:r>
      <w:r>
        <w:rPr>
          <w:rFonts w:ascii="Times New Roman" w:hAnsi="Times New Roman"/>
          <w:bCs/>
          <w:sz w:val="24"/>
          <w:szCs w:val="24"/>
        </w:rPr>
        <w:t>4</w:t>
      </w:r>
      <w:r w:rsidRPr="00710CE3">
        <w:rPr>
          <w:rFonts w:ascii="Times New Roman" w:hAnsi="Times New Roman"/>
          <w:bCs/>
          <w:sz w:val="24"/>
          <w:szCs w:val="24"/>
        </w:rPr>
        <w:t xml:space="preserve"> год оценивается в сумме 2</w:t>
      </w:r>
      <w:r>
        <w:rPr>
          <w:rFonts w:ascii="Times New Roman" w:hAnsi="Times New Roman"/>
          <w:bCs/>
          <w:sz w:val="24"/>
          <w:szCs w:val="24"/>
        </w:rPr>
        <w:t>71053</w:t>
      </w:r>
      <w:r w:rsidRPr="00710CE3">
        <w:rPr>
          <w:rFonts w:ascii="Times New Roman" w:hAnsi="Times New Roman"/>
          <w:bCs/>
          <w:sz w:val="24"/>
          <w:szCs w:val="24"/>
        </w:rPr>
        <w:t>,</w:t>
      </w:r>
      <w:r>
        <w:rPr>
          <w:rFonts w:ascii="Times New Roman" w:hAnsi="Times New Roman"/>
          <w:bCs/>
          <w:sz w:val="24"/>
          <w:szCs w:val="24"/>
        </w:rPr>
        <w:t>6</w:t>
      </w:r>
      <w:r w:rsidRPr="00710CE3">
        <w:rPr>
          <w:rFonts w:ascii="Times New Roman" w:hAnsi="Times New Roman"/>
          <w:bCs/>
          <w:sz w:val="24"/>
          <w:szCs w:val="24"/>
        </w:rPr>
        <w:t xml:space="preserve"> </w:t>
      </w:r>
      <w:r>
        <w:rPr>
          <w:rFonts w:ascii="Times New Roman" w:hAnsi="Times New Roman"/>
          <w:bCs/>
          <w:sz w:val="24"/>
          <w:szCs w:val="24"/>
        </w:rPr>
        <w:t>млн. рублей.</w:t>
      </w:r>
    </w:p>
    <w:p w:rsidR="007F3176" w:rsidRPr="00F47AEA" w:rsidRDefault="007F3176" w:rsidP="007F3176">
      <w:pPr>
        <w:autoSpaceDE w:val="0"/>
        <w:autoSpaceDN w:val="0"/>
        <w:adjustRightInd w:val="0"/>
        <w:spacing w:after="0" w:line="240" w:lineRule="auto"/>
        <w:ind w:firstLine="709"/>
        <w:jc w:val="both"/>
        <w:outlineLvl w:val="0"/>
        <w:rPr>
          <w:rFonts w:ascii="Times New Roman" w:hAnsi="Times New Roman"/>
          <w:bCs/>
          <w:sz w:val="24"/>
          <w:szCs w:val="24"/>
        </w:rPr>
      </w:pPr>
      <w:r w:rsidRPr="00F47AEA">
        <w:rPr>
          <w:rFonts w:ascii="Times New Roman" w:hAnsi="Times New Roman"/>
          <w:bCs/>
          <w:sz w:val="24"/>
          <w:szCs w:val="24"/>
        </w:rPr>
        <w:t xml:space="preserve">Согласно прогнозу достичь заданного на 2015 год </w:t>
      </w:r>
      <w:r>
        <w:rPr>
          <w:rFonts w:ascii="Times New Roman" w:hAnsi="Times New Roman"/>
          <w:bCs/>
          <w:sz w:val="24"/>
          <w:szCs w:val="24"/>
        </w:rPr>
        <w:t>С</w:t>
      </w:r>
      <w:r w:rsidRPr="00F47AEA">
        <w:rPr>
          <w:rFonts w:ascii="Times New Roman" w:hAnsi="Times New Roman"/>
          <w:bCs/>
          <w:sz w:val="24"/>
          <w:szCs w:val="24"/>
        </w:rPr>
        <w:t>тратегией социально-экономического развития Дальнего Востока и Байкальского региона на период до 2025 года</w:t>
      </w:r>
      <w:r>
        <w:rPr>
          <w:rFonts w:ascii="Times New Roman" w:hAnsi="Times New Roman"/>
          <w:bCs/>
          <w:sz w:val="24"/>
          <w:szCs w:val="24"/>
        </w:rPr>
        <w:t>, утвержденной р</w:t>
      </w:r>
      <w:r w:rsidRPr="00F47AEA">
        <w:rPr>
          <w:rFonts w:ascii="Times New Roman" w:hAnsi="Times New Roman"/>
          <w:bCs/>
          <w:sz w:val="24"/>
          <w:szCs w:val="24"/>
        </w:rPr>
        <w:t xml:space="preserve">аспоряжением Правительства Российской Федерации от 28.12.2009 </w:t>
      </w:r>
      <w:r>
        <w:rPr>
          <w:rFonts w:ascii="Times New Roman" w:hAnsi="Times New Roman"/>
          <w:bCs/>
          <w:sz w:val="24"/>
          <w:szCs w:val="24"/>
        </w:rPr>
        <w:br/>
      </w:r>
      <w:r w:rsidRPr="00F47AEA">
        <w:rPr>
          <w:rFonts w:ascii="Times New Roman" w:hAnsi="Times New Roman"/>
          <w:bCs/>
          <w:sz w:val="24"/>
          <w:szCs w:val="24"/>
        </w:rPr>
        <w:t>№ 2094-р</w:t>
      </w:r>
      <w:r>
        <w:rPr>
          <w:rFonts w:ascii="Times New Roman" w:hAnsi="Times New Roman"/>
          <w:bCs/>
          <w:sz w:val="24"/>
          <w:szCs w:val="24"/>
        </w:rPr>
        <w:t>,</w:t>
      </w:r>
      <w:r w:rsidRPr="00F47AEA">
        <w:rPr>
          <w:rFonts w:ascii="Times New Roman" w:hAnsi="Times New Roman"/>
          <w:bCs/>
          <w:sz w:val="24"/>
          <w:szCs w:val="24"/>
        </w:rPr>
        <w:t xml:space="preserve"> показателя валового регионального продукта в сумме 350339,0 млн. рублей не удастся.</w:t>
      </w:r>
    </w:p>
    <w:p w:rsidR="007F3176" w:rsidRDefault="007F3176" w:rsidP="007F3176">
      <w:pPr>
        <w:widowControl w:val="0"/>
        <w:spacing w:after="0" w:line="240" w:lineRule="auto"/>
        <w:ind w:firstLine="680"/>
        <w:jc w:val="both"/>
        <w:rPr>
          <w:rFonts w:ascii="Times New Roman" w:hAnsi="Times New Roman"/>
          <w:sz w:val="24"/>
          <w:szCs w:val="24"/>
        </w:rPr>
      </w:pPr>
      <w:r w:rsidRPr="00710CE3">
        <w:rPr>
          <w:rFonts w:ascii="Times New Roman" w:hAnsi="Times New Roman"/>
          <w:sz w:val="24"/>
          <w:szCs w:val="24"/>
        </w:rPr>
        <w:t xml:space="preserve">Данные об объемах ВРП, темпах роста ВРП и индексах-дефляторах ВРП в </w:t>
      </w:r>
      <w:r>
        <w:rPr>
          <w:rFonts w:ascii="Times New Roman" w:hAnsi="Times New Roman"/>
          <w:sz w:val="24"/>
          <w:szCs w:val="24"/>
        </w:rPr>
        <w:br/>
      </w:r>
      <w:r w:rsidRPr="00710CE3">
        <w:rPr>
          <w:rFonts w:ascii="Times New Roman" w:hAnsi="Times New Roman"/>
          <w:sz w:val="24"/>
          <w:szCs w:val="24"/>
        </w:rPr>
        <w:t>201</w:t>
      </w:r>
      <w:r>
        <w:rPr>
          <w:rFonts w:ascii="Times New Roman" w:hAnsi="Times New Roman"/>
          <w:sz w:val="24"/>
          <w:szCs w:val="24"/>
        </w:rPr>
        <w:t>3</w:t>
      </w:r>
      <w:r w:rsidRPr="00710CE3">
        <w:rPr>
          <w:rFonts w:ascii="Times New Roman" w:hAnsi="Times New Roman"/>
          <w:sz w:val="24"/>
          <w:szCs w:val="24"/>
        </w:rPr>
        <w:t>-</w:t>
      </w:r>
      <w:r>
        <w:rPr>
          <w:rFonts w:ascii="Times New Roman" w:hAnsi="Times New Roman"/>
          <w:sz w:val="24"/>
          <w:szCs w:val="24"/>
        </w:rPr>
        <w:t>2017</w:t>
      </w:r>
      <w:r w:rsidRPr="00710CE3">
        <w:rPr>
          <w:rFonts w:ascii="Times New Roman" w:hAnsi="Times New Roman"/>
          <w:sz w:val="24"/>
          <w:szCs w:val="24"/>
        </w:rPr>
        <w:t xml:space="preserve"> годах</w:t>
      </w:r>
      <w:r>
        <w:rPr>
          <w:rFonts w:ascii="Times New Roman" w:hAnsi="Times New Roman"/>
          <w:sz w:val="24"/>
          <w:szCs w:val="24"/>
        </w:rPr>
        <w:t xml:space="preserve"> представлены на рисунке 5</w:t>
      </w:r>
      <w:r w:rsidRPr="00710CE3">
        <w:rPr>
          <w:rFonts w:ascii="Times New Roman" w:hAnsi="Times New Roman"/>
          <w:sz w:val="24"/>
          <w:szCs w:val="24"/>
        </w:rPr>
        <w:t>.</w:t>
      </w:r>
    </w:p>
    <w:p w:rsidR="007F3176" w:rsidRPr="00710CE3" w:rsidRDefault="007F3176" w:rsidP="007F3176">
      <w:pPr>
        <w:widowControl w:val="0"/>
        <w:spacing w:after="0" w:line="240" w:lineRule="auto"/>
        <w:ind w:firstLine="680"/>
        <w:jc w:val="both"/>
        <w:rPr>
          <w:rFonts w:ascii="Times New Roman" w:hAnsi="Times New Roman"/>
          <w:sz w:val="24"/>
          <w:szCs w:val="24"/>
        </w:rPr>
      </w:pPr>
    </w:p>
    <w:p w:rsidR="007F3176" w:rsidRPr="00B526D1" w:rsidRDefault="007F3176" w:rsidP="007F3176">
      <w:pPr>
        <w:widowControl w:val="0"/>
        <w:spacing w:after="0" w:line="240" w:lineRule="auto"/>
        <w:jc w:val="center"/>
        <w:rPr>
          <w:rFonts w:ascii="Times New Roman" w:hAnsi="Times New Roman"/>
          <w:b/>
          <w:color w:val="000000" w:themeColor="text1"/>
          <w:sz w:val="24"/>
          <w:szCs w:val="24"/>
        </w:rPr>
      </w:pPr>
      <w:r w:rsidRPr="0031794C">
        <w:rPr>
          <w:rFonts w:ascii="Times New Roman" w:hAnsi="Times New Roman"/>
          <w:noProof/>
          <w:color w:val="FF0000"/>
          <w:sz w:val="28"/>
          <w:szCs w:val="28"/>
        </w:rPr>
        <w:drawing>
          <wp:inline distT="0" distB="0" distL="0" distR="0" wp14:anchorId="3D2A8564" wp14:editId="234C26A5">
            <wp:extent cx="6457950" cy="3686175"/>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176" w:rsidRDefault="007F3176" w:rsidP="007F3176">
      <w:pPr>
        <w:widowControl w:val="0"/>
        <w:spacing w:after="0" w:line="240" w:lineRule="auto"/>
        <w:jc w:val="center"/>
        <w:rPr>
          <w:rFonts w:ascii="Times New Roman" w:hAnsi="Times New Roman"/>
          <w:b/>
          <w:sz w:val="24"/>
          <w:szCs w:val="24"/>
        </w:rPr>
      </w:pPr>
    </w:p>
    <w:p w:rsidR="007F3176" w:rsidRDefault="007F3176" w:rsidP="007F3176">
      <w:pPr>
        <w:widowControl w:val="0"/>
        <w:spacing w:after="0" w:line="240" w:lineRule="auto"/>
        <w:jc w:val="center"/>
        <w:rPr>
          <w:rFonts w:ascii="Times New Roman" w:hAnsi="Times New Roman"/>
          <w:b/>
          <w:sz w:val="24"/>
          <w:szCs w:val="24"/>
        </w:rPr>
      </w:pPr>
      <w:r w:rsidRPr="00C52EE2">
        <w:rPr>
          <w:rFonts w:ascii="Times New Roman" w:hAnsi="Times New Roman"/>
          <w:b/>
          <w:sz w:val="24"/>
          <w:szCs w:val="24"/>
        </w:rPr>
        <w:t xml:space="preserve">Рис. </w:t>
      </w:r>
      <w:r>
        <w:rPr>
          <w:rFonts w:ascii="Times New Roman" w:hAnsi="Times New Roman"/>
          <w:b/>
          <w:sz w:val="24"/>
          <w:szCs w:val="24"/>
        </w:rPr>
        <w:t>5</w:t>
      </w:r>
      <w:r w:rsidRPr="00C52EE2">
        <w:rPr>
          <w:rFonts w:ascii="Times New Roman" w:hAnsi="Times New Roman"/>
          <w:b/>
          <w:sz w:val="24"/>
          <w:szCs w:val="24"/>
        </w:rPr>
        <w:t xml:space="preserve"> – Данные об объемах ВРП, темпах роста ВРП и индексах-дефляторах ВРП </w:t>
      </w:r>
      <w:r w:rsidRPr="00C52EE2">
        <w:rPr>
          <w:rFonts w:ascii="Times New Roman" w:hAnsi="Times New Roman"/>
          <w:b/>
          <w:sz w:val="24"/>
          <w:szCs w:val="24"/>
        </w:rPr>
        <w:br/>
        <w:t>в 201</w:t>
      </w:r>
      <w:r>
        <w:rPr>
          <w:rFonts w:ascii="Times New Roman" w:hAnsi="Times New Roman"/>
          <w:b/>
          <w:sz w:val="24"/>
          <w:szCs w:val="24"/>
        </w:rPr>
        <w:t>3</w:t>
      </w:r>
      <w:r w:rsidRPr="00C52EE2">
        <w:rPr>
          <w:rFonts w:ascii="Times New Roman" w:hAnsi="Times New Roman"/>
          <w:b/>
          <w:sz w:val="24"/>
          <w:szCs w:val="24"/>
        </w:rPr>
        <w:t>-</w:t>
      </w:r>
      <w:r>
        <w:rPr>
          <w:rFonts w:ascii="Times New Roman" w:hAnsi="Times New Roman"/>
          <w:b/>
          <w:sz w:val="24"/>
          <w:szCs w:val="24"/>
        </w:rPr>
        <w:t>2017</w:t>
      </w:r>
      <w:r w:rsidRPr="00C52EE2">
        <w:rPr>
          <w:rFonts w:ascii="Times New Roman" w:hAnsi="Times New Roman"/>
          <w:b/>
          <w:sz w:val="24"/>
          <w:szCs w:val="24"/>
        </w:rPr>
        <w:t xml:space="preserve"> годах</w:t>
      </w:r>
    </w:p>
    <w:p w:rsidR="007F3176" w:rsidRPr="00381033" w:rsidRDefault="007F3176" w:rsidP="007F3176">
      <w:pPr>
        <w:widowControl w:val="0"/>
        <w:spacing w:after="0" w:line="240" w:lineRule="auto"/>
        <w:ind w:firstLine="680"/>
        <w:jc w:val="both"/>
        <w:rPr>
          <w:rFonts w:ascii="Times New Roman" w:hAnsi="Times New Roman"/>
          <w:sz w:val="24"/>
          <w:szCs w:val="24"/>
        </w:rPr>
      </w:pPr>
      <w:r>
        <w:rPr>
          <w:rFonts w:ascii="Times New Roman" w:hAnsi="Times New Roman"/>
          <w:bCs/>
          <w:sz w:val="24"/>
          <w:szCs w:val="24"/>
        </w:rPr>
        <w:lastRenderedPageBreak/>
        <w:t>В условиях замедления темпов роста экономики в целом по России</w:t>
      </w:r>
      <w:r w:rsidRPr="00C52EE2">
        <w:rPr>
          <w:rFonts w:ascii="Times New Roman" w:hAnsi="Times New Roman"/>
          <w:bCs/>
          <w:sz w:val="24"/>
          <w:szCs w:val="24"/>
        </w:rPr>
        <w:t xml:space="preserve"> </w:t>
      </w:r>
      <w:r>
        <w:rPr>
          <w:rFonts w:ascii="Times New Roman" w:hAnsi="Times New Roman"/>
          <w:bCs/>
          <w:sz w:val="24"/>
          <w:szCs w:val="24"/>
        </w:rPr>
        <w:t xml:space="preserve">прирост </w:t>
      </w:r>
      <w:r>
        <w:rPr>
          <w:rFonts w:ascii="Times New Roman" w:hAnsi="Times New Roman"/>
          <w:bCs/>
          <w:sz w:val="24"/>
          <w:szCs w:val="24"/>
        </w:rPr>
        <w:br/>
        <w:t xml:space="preserve">ВРП Амурской области прогнозируется с темпом 102,87-105,38 процента ежегодно </w:t>
      </w:r>
      <w:r w:rsidRPr="00C52EE2">
        <w:rPr>
          <w:rFonts w:ascii="Times New Roman" w:hAnsi="Times New Roman"/>
          <w:sz w:val="24"/>
          <w:szCs w:val="24"/>
        </w:rPr>
        <w:t xml:space="preserve">(по </w:t>
      </w:r>
      <w:r>
        <w:rPr>
          <w:rFonts w:ascii="Times New Roman" w:hAnsi="Times New Roman"/>
          <w:sz w:val="24"/>
          <w:szCs w:val="24"/>
        </w:rPr>
        <w:br/>
      </w:r>
      <w:r w:rsidRPr="00C52EE2">
        <w:rPr>
          <w:rFonts w:ascii="Times New Roman" w:hAnsi="Times New Roman"/>
          <w:sz w:val="24"/>
          <w:szCs w:val="24"/>
        </w:rPr>
        <w:t xml:space="preserve">варианту </w:t>
      </w:r>
      <w:r>
        <w:rPr>
          <w:rFonts w:ascii="Times New Roman" w:hAnsi="Times New Roman"/>
          <w:sz w:val="24"/>
          <w:szCs w:val="24"/>
        </w:rPr>
        <w:t>1</w:t>
      </w:r>
      <w:r w:rsidRPr="00C52EE2">
        <w:rPr>
          <w:rFonts w:ascii="Times New Roman" w:hAnsi="Times New Roman"/>
          <w:sz w:val="24"/>
          <w:szCs w:val="24"/>
        </w:rPr>
        <w:t xml:space="preserve">: </w:t>
      </w:r>
      <w:r>
        <w:rPr>
          <w:rFonts w:ascii="Times New Roman" w:hAnsi="Times New Roman"/>
          <w:sz w:val="24"/>
          <w:szCs w:val="24"/>
        </w:rPr>
        <w:t>102,87</w:t>
      </w:r>
      <w:r w:rsidRPr="00C52EE2">
        <w:rPr>
          <w:rFonts w:ascii="Times New Roman" w:hAnsi="Times New Roman"/>
          <w:sz w:val="24"/>
          <w:szCs w:val="24"/>
        </w:rPr>
        <w:t xml:space="preserve"> процента в </w:t>
      </w:r>
      <w:r>
        <w:rPr>
          <w:rFonts w:ascii="Times New Roman" w:hAnsi="Times New Roman"/>
          <w:sz w:val="24"/>
          <w:szCs w:val="24"/>
        </w:rPr>
        <w:t>2015</w:t>
      </w:r>
      <w:r w:rsidRPr="00C52EE2">
        <w:rPr>
          <w:rFonts w:ascii="Times New Roman" w:hAnsi="Times New Roman"/>
          <w:sz w:val="24"/>
          <w:szCs w:val="24"/>
        </w:rPr>
        <w:t xml:space="preserve"> году; </w:t>
      </w:r>
      <w:r>
        <w:rPr>
          <w:rFonts w:ascii="Times New Roman" w:hAnsi="Times New Roman"/>
          <w:sz w:val="24"/>
          <w:szCs w:val="24"/>
        </w:rPr>
        <w:t>103,66</w:t>
      </w:r>
      <w:r w:rsidRPr="00C52EE2">
        <w:rPr>
          <w:rFonts w:ascii="Times New Roman" w:hAnsi="Times New Roman"/>
          <w:sz w:val="24"/>
          <w:szCs w:val="24"/>
        </w:rPr>
        <w:t xml:space="preserve"> процента в </w:t>
      </w:r>
      <w:r>
        <w:rPr>
          <w:rFonts w:ascii="Times New Roman" w:hAnsi="Times New Roman"/>
          <w:sz w:val="24"/>
          <w:szCs w:val="24"/>
        </w:rPr>
        <w:t>2016</w:t>
      </w:r>
      <w:r w:rsidRPr="00C52EE2">
        <w:rPr>
          <w:rFonts w:ascii="Times New Roman" w:hAnsi="Times New Roman"/>
          <w:sz w:val="24"/>
          <w:szCs w:val="24"/>
        </w:rPr>
        <w:t xml:space="preserve"> году; </w:t>
      </w:r>
      <w:r>
        <w:rPr>
          <w:rFonts w:ascii="Times New Roman" w:hAnsi="Times New Roman"/>
          <w:sz w:val="24"/>
          <w:szCs w:val="24"/>
        </w:rPr>
        <w:t>103,61</w:t>
      </w:r>
      <w:r w:rsidRPr="00C52EE2">
        <w:rPr>
          <w:rFonts w:ascii="Times New Roman" w:hAnsi="Times New Roman"/>
          <w:sz w:val="24"/>
          <w:szCs w:val="24"/>
        </w:rPr>
        <w:t xml:space="preserve"> процента в </w:t>
      </w:r>
      <w:r>
        <w:rPr>
          <w:rFonts w:ascii="Times New Roman" w:hAnsi="Times New Roman"/>
          <w:sz w:val="24"/>
          <w:szCs w:val="24"/>
        </w:rPr>
        <w:t>2017</w:t>
      </w:r>
      <w:r w:rsidRPr="00C52EE2">
        <w:rPr>
          <w:rFonts w:ascii="Times New Roman" w:hAnsi="Times New Roman"/>
          <w:sz w:val="24"/>
          <w:szCs w:val="24"/>
        </w:rPr>
        <w:t xml:space="preserve"> году)</w:t>
      </w:r>
      <w:r w:rsidR="00B526D1">
        <w:rPr>
          <w:rFonts w:ascii="Times New Roman" w:hAnsi="Times New Roman"/>
          <w:bCs/>
          <w:sz w:val="24"/>
          <w:szCs w:val="24"/>
        </w:rPr>
        <w:t>.</w:t>
      </w:r>
    </w:p>
    <w:p w:rsidR="007F3176" w:rsidRPr="00C52EE2" w:rsidRDefault="007F3176" w:rsidP="007F3176">
      <w:pPr>
        <w:widowControl w:val="0"/>
        <w:spacing w:after="0" w:line="240" w:lineRule="auto"/>
        <w:ind w:firstLine="680"/>
        <w:jc w:val="both"/>
        <w:rPr>
          <w:rFonts w:ascii="Times New Roman" w:hAnsi="Times New Roman"/>
          <w:bCs/>
          <w:sz w:val="24"/>
          <w:szCs w:val="24"/>
        </w:rPr>
      </w:pPr>
      <w:r w:rsidRPr="00C52EE2">
        <w:rPr>
          <w:rFonts w:ascii="Times New Roman" w:hAnsi="Times New Roman"/>
          <w:bCs/>
          <w:sz w:val="24"/>
          <w:szCs w:val="24"/>
        </w:rPr>
        <w:t>Индекс-дефлятор валового регионального продукта оценивается на 201</w:t>
      </w:r>
      <w:r>
        <w:rPr>
          <w:rFonts w:ascii="Times New Roman" w:hAnsi="Times New Roman"/>
          <w:bCs/>
          <w:sz w:val="24"/>
          <w:szCs w:val="24"/>
        </w:rPr>
        <w:t>4</w:t>
      </w:r>
      <w:r w:rsidRPr="00C52EE2">
        <w:rPr>
          <w:rFonts w:ascii="Times New Roman" w:hAnsi="Times New Roman"/>
          <w:bCs/>
          <w:sz w:val="24"/>
          <w:szCs w:val="24"/>
        </w:rPr>
        <w:t xml:space="preserve"> год в размере 106,</w:t>
      </w:r>
      <w:r>
        <w:rPr>
          <w:rFonts w:ascii="Times New Roman" w:hAnsi="Times New Roman"/>
          <w:bCs/>
          <w:sz w:val="24"/>
          <w:szCs w:val="24"/>
        </w:rPr>
        <w:t>74</w:t>
      </w:r>
      <w:r w:rsidRPr="00C52EE2">
        <w:rPr>
          <w:rFonts w:ascii="Times New Roman" w:hAnsi="Times New Roman"/>
          <w:bCs/>
          <w:sz w:val="24"/>
          <w:szCs w:val="24"/>
        </w:rPr>
        <w:t xml:space="preserve"> процента, с последующим снижением в </w:t>
      </w:r>
      <w:r>
        <w:rPr>
          <w:rFonts w:ascii="Times New Roman" w:hAnsi="Times New Roman"/>
          <w:bCs/>
          <w:sz w:val="24"/>
          <w:szCs w:val="24"/>
        </w:rPr>
        <w:t>2017</w:t>
      </w:r>
      <w:r w:rsidRPr="00C52EE2">
        <w:rPr>
          <w:rFonts w:ascii="Times New Roman" w:hAnsi="Times New Roman"/>
          <w:bCs/>
          <w:sz w:val="24"/>
          <w:szCs w:val="24"/>
        </w:rPr>
        <w:t xml:space="preserve"> год</w:t>
      </w:r>
      <w:r>
        <w:rPr>
          <w:rFonts w:ascii="Times New Roman" w:hAnsi="Times New Roman"/>
          <w:bCs/>
          <w:sz w:val="24"/>
          <w:szCs w:val="24"/>
        </w:rPr>
        <w:t>у</w:t>
      </w:r>
      <w:r w:rsidRPr="00C52EE2">
        <w:rPr>
          <w:rFonts w:ascii="Times New Roman" w:hAnsi="Times New Roman"/>
          <w:bCs/>
          <w:sz w:val="24"/>
          <w:szCs w:val="24"/>
        </w:rPr>
        <w:t xml:space="preserve"> до 10</w:t>
      </w:r>
      <w:r>
        <w:rPr>
          <w:rFonts w:ascii="Times New Roman" w:hAnsi="Times New Roman"/>
          <w:bCs/>
          <w:sz w:val="24"/>
          <w:szCs w:val="24"/>
        </w:rPr>
        <w:t>6</w:t>
      </w:r>
      <w:r w:rsidRPr="00C52EE2">
        <w:rPr>
          <w:rFonts w:ascii="Times New Roman" w:hAnsi="Times New Roman"/>
          <w:bCs/>
          <w:sz w:val="24"/>
          <w:szCs w:val="24"/>
        </w:rPr>
        <w:t>,</w:t>
      </w:r>
      <w:r>
        <w:rPr>
          <w:rFonts w:ascii="Times New Roman" w:hAnsi="Times New Roman"/>
          <w:bCs/>
          <w:sz w:val="24"/>
          <w:szCs w:val="24"/>
        </w:rPr>
        <w:t>12</w:t>
      </w:r>
      <w:r w:rsidRPr="00C52EE2">
        <w:rPr>
          <w:rFonts w:ascii="Times New Roman" w:hAnsi="Times New Roman"/>
          <w:bCs/>
          <w:sz w:val="24"/>
          <w:szCs w:val="24"/>
        </w:rPr>
        <w:t xml:space="preserve"> </w:t>
      </w:r>
      <w:r>
        <w:rPr>
          <w:rFonts w:ascii="Times New Roman" w:hAnsi="Times New Roman"/>
          <w:bCs/>
          <w:sz w:val="24"/>
          <w:szCs w:val="24"/>
        </w:rPr>
        <w:t xml:space="preserve">- </w:t>
      </w:r>
      <w:r w:rsidRPr="00C52EE2">
        <w:rPr>
          <w:rFonts w:ascii="Times New Roman" w:hAnsi="Times New Roman"/>
          <w:bCs/>
          <w:sz w:val="24"/>
          <w:szCs w:val="24"/>
        </w:rPr>
        <w:t>10</w:t>
      </w:r>
      <w:r>
        <w:rPr>
          <w:rFonts w:ascii="Times New Roman" w:hAnsi="Times New Roman"/>
          <w:bCs/>
          <w:sz w:val="24"/>
          <w:szCs w:val="24"/>
        </w:rPr>
        <w:t>5</w:t>
      </w:r>
      <w:r w:rsidRPr="00C52EE2">
        <w:rPr>
          <w:rFonts w:ascii="Times New Roman" w:hAnsi="Times New Roman"/>
          <w:bCs/>
          <w:sz w:val="24"/>
          <w:szCs w:val="24"/>
        </w:rPr>
        <w:t>,9</w:t>
      </w:r>
      <w:r>
        <w:rPr>
          <w:rFonts w:ascii="Times New Roman" w:hAnsi="Times New Roman"/>
          <w:bCs/>
          <w:sz w:val="24"/>
          <w:szCs w:val="24"/>
        </w:rPr>
        <w:t>1</w:t>
      </w:r>
      <w:r w:rsidRPr="00C52EE2">
        <w:rPr>
          <w:rFonts w:ascii="Times New Roman" w:hAnsi="Times New Roman"/>
          <w:bCs/>
          <w:sz w:val="24"/>
          <w:szCs w:val="24"/>
        </w:rPr>
        <w:t xml:space="preserve"> процента</w:t>
      </w:r>
      <w:r>
        <w:rPr>
          <w:rFonts w:ascii="Times New Roman" w:hAnsi="Times New Roman"/>
          <w:bCs/>
          <w:sz w:val="24"/>
          <w:szCs w:val="24"/>
        </w:rPr>
        <w:t xml:space="preserve"> (варианты 1 и 2, соответственно)</w:t>
      </w:r>
      <w:r w:rsidRPr="00C52EE2">
        <w:rPr>
          <w:rFonts w:ascii="Times New Roman" w:hAnsi="Times New Roman"/>
          <w:bCs/>
          <w:sz w:val="24"/>
          <w:szCs w:val="24"/>
        </w:rPr>
        <w:t>.</w:t>
      </w:r>
    </w:p>
    <w:p w:rsidR="007F3176" w:rsidRDefault="007F3176" w:rsidP="007F3176">
      <w:pPr>
        <w:spacing w:after="0" w:line="240" w:lineRule="auto"/>
        <w:ind w:firstLine="720"/>
        <w:jc w:val="both"/>
        <w:rPr>
          <w:rFonts w:ascii="Times New Roman" w:hAnsi="Times New Roman"/>
          <w:spacing w:val="-1"/>
          <w:sz w:val="24"/>
          <w:szCs w:val="24"/>
        </w:rPr>
      </w:pPr>
      <w:r w:rsidRPr="00F47AEA">
        <w:rPr>
          <w:rFonts w:ascii="Times New Roman" w:hAnsi="Times New Roman"/>
          <w:spacing w:val="-1"/>
          <w:sz w:val="24"/>
          <w:szCs w:val="24"/>
        </w:rPr>
        <w:t>Ведущими отраслями, обеспечивающими основной объем ВРП области, являются промышленность, строительство, сельское хозяйство, транспорт и торговля, на их долю п</w:t>
      </w:r>
      <w:r>
        <w:rPr>
          <w:rFonts w:ascii="Times New Roman" w:hAnsi="Times New Roman"/>
          <w:spacing w:val="-1"/>
          <w:sz w:val="24"/>
          <w:szCs w:val="24"/>
        </w:rPr>
        <w:t>риходится более 78,0 процентов.</w:t>
      </w:r>
    </w:p>
    <w:p w:rsidR="007F3176" w:rsidRPr="00D2344B" w:rsidRDefault="007F3176" w:rsidP="007F3176">
      <w:pPr>
        <w:spacing w:after="0" w:line="240" w:lineRule="auto"/>
        <w:ind w:firstLine="720"/>
        <w:jc w:val="both"/>
        <w:rPr>
          <w:rFonts w:ascii="Times New Roman" w:hAnsi="Times New Roman"/>
          <w:spacing w:val="-1"/>
          <w:sz w:val="24"/>
          <w:szCs w:val="24"/>
        </w:rPr>
      </w:pPr>
      <w:r w:rsidRPr="00F47AEA">
        <w:rPr>
          <w:rFonts w:ascii="Times New Roman" w:hAnsi="Times New Roman"/>
          <w:spacing w:val="-1"/>
          <w:sz w:val="24"/>
          <w:szCs w:val="24"/>
        </w:rPr>
        <w:t xml:space="preserve">Доминирующим видом экономической деятельности в структуре ВРП области является транспорт и связь, удельный вес в ВРП составляет </w:t>
      </w:r>
      <w:r w:rsidRPr="00F47AEA">
        <w:rPr>
          <w:rFonts w:ascii="Times New Roman" w:hAnsi="Times New Roman"/>
          <w:spacing w:val="-1"/>
          <w:sz w:val="24"/>
          <w:szCs w:val="24"/>
        </w:rPr>
        <w:br/>
        <w:t>21,6 процента.</w:t>
      </w:r>
      <w:r>
        <w:rPr>
          <w:rFonts w:ascii="Times New Roman" w:hAnsi="Times New Roman"/>
          <w:spacing w:val="-1"/>
          <w:sz w:val="24"/>
          <w:szCs w:val="24"/>
        </w:rPr>
        <w:t xml:space="preserve"> </w:t>
      </w:r>
      <w:r w:rsidRPr="00321BA1">
        <w:rPr>
          <w:rFonts w:ascii="Times New Roman" w:hAnsi="Times New Roman"/>
          <w:spacing w:val="-1"/>
          <w:sz w:val="24"/>
          <w:szCs w:val="24"/>
        </w:rPr>
        <w:t>Согласно прогнозу в структуре отраслей, обеспечивающих объем валового регион</w:t>
      </w:r>
      <w:r>
        <w:rPr>
          <w:rFonts w:ascii="Times New Roman" w:hAnsi="Times New Roman"/>
          <w:spacing w:val="-1"/>
          <w:sz w:val="24"/>
          <w:szCs w:val="24"/>
        </w:rPr>
        <w:t>ального продукта, о</w:t>
      </w:r>
      <w:r w:rsidRPr="00D2344B">
        <w:rPr>
          <w:rFonts w:ascii="Times New Roman" w:hAnsi="Times New Roman"/>
          <w:spacing w:val="-1"/>
          <w:sz w:val="24"/>
          <w:szCs w:val="24"/>
        </w:rPr>
        <w:t xml:space="preserve">жидается увеличение доли транспорта и связи, </w:t>
      </w:r>
      <w:r>
        <w:rPr>
          <w:rFonts w:ascii="Times New Roman" w:hAnsi="Times New Roman"/>
          <w:spacing w:val="-1"/>
          <w:sz w:val="24"/>
          <w:szCs w:val="24"/>
        </w:rPr>
        <w:t xml:space="preserve">а также </w:t>
      </w:r>
      <w:r w:rsidRPr="00D2344B">
        <w:rPr>
          <w:rFonts w:ascii="Times New Roman" w:hAnsi="Times New Roman"/>
          <w:spacing w:val="-1"/>
          <w:sz w:val="24"/>
          <w:szCs w:val="24"/>
        </w:rPr>
        <w:t>оптовой и розничной торговли.</w:t>
      </w:r>
    </w:p>
    <w:p w:rsidR="007F3176" w:rsidRDefault="007F3176" w:rsidP="007F3176">
      <w:pPr>
        <w:widowControl w:val="0"/>
        <w:spacing w:after="0" w:line="240" w:lineRule="auto"/>
        <w:ind w:firstLine="709"/>
        <w:jc w:val="both"/>
        <w:rPr>
          <w:rFonts w:ascii="Times New Roman" w:hAnsi="Times New Roman"/>
          <w:sz w:val="24"/>
          <w:szCs w:val="24"/>
        </w:rPr>
      </w:pPr>
      <w:r w:rsidRPr="00321BA1">
        <w:rPr>
          <w:rFonts w:ascii="Times New Roman" w:hAnsi="Times New Roman"/>
          <w:sz w:val="24"/>
          <w:szCs w:val="24"/>
        </w:rPr>
        <w:t>Динамика индексов производства в 201</w:t>
      </w:r>
      <w:r>
        <w:rPr>
          <w:rFonts w:ascii="Times New Roman" w:hAnsi="Times New Roman"/>
          <w:sz w:val="24"/>
          <w:szCs w:val="24"/>
        </w:rPr>
        <w:t>3</w:t>
      </w:r>
      <w:r w:rsidRPr="00321BA1">
        <w:rPr>
          <w:rFonts w:ascii="Times New Roman" w:hAnsi="Times New Roman"/>
          <w:sz w:val="24"/>
          <w:szCs w:val="24"/>
        </w:rPr>
        <w:t>-2017 годах по укрупненным видам деятел</w:t>
      </w:r>
      <w:r>
        <w:rPr>
          <w:rFonts w:ascii="Times New Roman" w:hAnsi="Times New Roman"/>
          <w:sz w:val="24"/>
          <w:szCs w:val="24"/>
        </w:rPr>
        <w:t>ьности представлена таблице 1</w:t>
      </w:r>
      <w:r w:rsidRPr="00321BA1">
        <w:rPr>
          <w:rFonts w:ascii="Times New Roman" w:hAnsi="Times New Roman"/>
          <w:sz w:val="24"/>
          <w:szCs w:val="24"/>
        </w:rPr>
        <w:t>.</w:t>
      </w:r>
    </w:p>
    <w:p w:rsidR="007F3176" w:rsidRDefault="007F3176" w:rsidP="007F3176">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Таблица 1</w:t>
      </w:r>
    </w:p>
    <w:p w:rsidR="007F3176" w:rsidRDefault="007F3176" w:rsidP="007F3176">
      <w:pPr>
        <w:widowControl w:val="0"/>
        <w:spacing w:after="0" w:line="240" w:lineRule="auto"/>
        <w:jc w:val="center"/>
        <w:rPr>
          <w:rFonts w:ascii="Times New Roman" w:hAnsi="Times New Roman"/>
          <w:b/>
          <w:sz w:val="24"/>
          <w:szCs w:val="24"/>
        </w:rPr>
      </w:pPr>
      <w:r w:rsidRPr="00B66B5B">
        <w:rPr>
          <w:rFonts w:ascii="Times New Roman" w:hAnsi="Times New Roman"/>
          <w:b/>
          <w:sz w:val="24"/>
          <w:szCs w:val="24"/>
        </w:rPr>
        <w:t>Динамика индексов производства в 201</w:t>
      </w:r>
      <w:r>
        <w:rPr>
          <w:rFonts w:ascii="Times New Roman" w:hAnsi="Times New Roman"/>
          <w:b/>
          <w:sz w:val="24"/>
          <w:szCs w:val="24"/>
        </w:rPr>
        <w:t>3</w:t>
      </w:r>
      <w:r w:rsidRPr="00B66B5B">
        <w:rPr>
          <w:rFonts w:ascii="Times New Roman" w:hAnsi="Times New Roman"/>
          <w:b/>
          <w:sz w:val="24"/>
          <w:szCs w:val="24"/>
        </w:rPr>
        <w:t>-</w:t>
      </w:r>
      <w:r>
        <w:rPr>
          <w:rFonts w:ascii="Times New Roman" w:hAnsi="Times New Roman"/>
          <w:b/>
          <w:sz w:val="24"/>
          <w:szCs w:val="24"/>
        </w:rPr>
        <w:t>2017</w:t>
      </w:r>
      <w:r w:rsidRPr="00B66B5B">
        <w:rPr>
          <w:rFonts w:ascii="Times New Roman" w:hAnsi="Times New Roman"/>
          <w:b/>
          <w:sz w:val="24"/>
          <w:szCs w:val="24"/>
        </w:rPr>
        <w:t xml:space="preserve"> годах по укрупненным в</w:t>
      </w:r>
      <w:r>
        <w:rPr>
          <w:rFonts w:ascii="Times New Roman" w:hAnsi="Times New Roman"/>
          <w:b/>
          <w:sz w:val="24"/>
          <w:szCs w:val="24"/>
        </w:rPr>
        <w:t>идам деятельности (по варианту 1</w:t>
      </w:r>
      <w:r w:rsidRPr="00B66B5B">
        <w:rPr>
          <w:rFonts w:ascii="Times New Roman" w:hAnsi="Times New Roman"/>
          <w:b/>
          <w:sz w:val="24"/>
          <w:szCs w:val="24"/>
        </w:rPr>
        <w:t>)</w:t>
      </w:r>
    </w:p>
    <w:p w:rsidR="007F3176" w:rsidRDefault="007F3176" w:rsidP="007F3176">
      <w:pPr>
        <w:widowControl w:val="0"/>
        <w:spacing w:after="0" w:line="240" w:lineRule="auto"/>
        <w:ind w:firstLine="709"/>
        <w:jc w:val="both"/>
        <w:rPr>
          <w:rFonts w:ascii="Times New Roman" w:hAnsi="Times New Roman"/>
          <w:sz w:val="24"/>
          <w:szCs w:val="24"/>
        </w:rPr>
      </w:pPr>
    </w:p>
    <w:tbl>
      <w:tblPr>
        <w:tblStyle w:val="af2"/>
        <w:tblW w:w="4951" w:type="pct"/>
        <w:tblLayout w:type="fixed"/>
        <w:tblLook w:val="04A0" w:firstRow="1" w:lastRow="0" w:firstColumn="1" w:lastColumn="0" w:noHBand="0" w:noVBand="1"/>
      </w:tblPr>
      <w:tblGrid>
        <w:gridCol w:w="3652"/>
        <w:gridCol w:w="1221"/>
        <w:gridCol w:w="1221"/>
        <w:gridCol w:w="1221"/>
        <w:gridCol w:w="1221"/>
        <w:gridCol w:w="1220"/>
      </w:tblGrid>
      <w:tr w:rsidR="007F3176" w:rsidRPr="0031421A" w:rsidTr="00246ADB">
        <w:trPr>
          <w:trHeight w:val="300"/>
        </w:trPr>
        <w:tc>
          <w:tcPr>
            <w:tcW w:w="1871" w:type="pct"/>
            <w:noWrap/>
            <w:hideMark/>
          </w:tcPr>
          <w:p w:rsidR="007F3176" w:rsidRPr="0031421A" w:rsidRDefault="007F3176" w:rsidP="00246ADB">
            <w:pPr>
              <w:widowControl w:val="0"/>
              <w:jc w:val="center"/>
              <w:rPr>
                <w:rFonts w:ascii="Times New Roman" w:hAnsi="Times New Roman"/>
              </w:rPr>
            </w:pPr>
            <w:r w:rsidRPr="0031421A">
              <w:rPr>
                <w:rFonts w:ascii="Times New Roman" w:hAnsi="Times New Roman"/>
              </w:rPr>
              <w:t>Наименование показателя</w:t>
            </w:r>
          </w:p>
        </w:tc>
        <w:tc>
          <w:tcPr>
            <w:tcW w:w="626" w:type="pct"/>
            <w:noWrap/>
            <w:hideMark/>
          </w:tcPr>
          <w:p w:rsidR="007F3176" w:rsidRPr="0031421A" w:rsidRDefault="007F3176" w:rsidP="00246ADB">
            <w:pPr>
              <w:widowControl w:val="0"/>
              <w:jc w:val="center"/>
              <w:rPr>
                <w:rFonts w:ascii="Times New Roman" w:hAnsi="Times New Roman"/>
              </w:rPr>
            </w:pPr>
            <w:r w:rsidRPr="0031421A">
              <w:rPr>
                <w:rFonts w:ascii="Times New Roman" w:hAnsi="Times New Roman"/>
              </w:rPr>
              <w:t>2013</w:t>
            </w:r>
          </w:p>
        </w:tc>
        <w:tc>
          <w:tcPr>
            <w:tcW w:w="626" w:type="pct"/>
            <w:noWrap/>
            <w:hideMark/>
          </w:tcPr>
          <w:p w:rsidR="007F3176" w:rsidRPr="0031421A" w:rsidRDefault="007F3176" w:rsidP="00246ADB">
            <w:pPr>
              <w:widowControl w:val="0"/>
              <w:jc w:val="center"/>
              <w:rPr>
                <w:rFonts w:ascii="Times New Roman" w:hAnsi="Times New Roman"/>
              </w:rPr>
            </w:pPr>
            <w:r w:rsidRPr="0031421A">
              <w:rPr>
                <w:rFonts w:ascii="Times New Roman" w:hAnsi="Times New Roman"/>
              </w:rPr>
              <w:t>2014 (оценка)</w:t>
            </w:r>
          </w:p>
        </w:tc>
        <w:tc>
          <w:tcPr>
            <w:tcW w:w="626" w:type="pct"/>
            <w:noWrap/>
            <w:hideMark/>
          </w:tcPr>
          <w:p w:rsidR="007F3176" w:rsidRPr="0031421A" w:rsidRDefault="007F3176" w:rsidP="00246ADB">
            <w:pPr>
              <w:widowControl w:val="0"/>
              <w:jc w:val="center"/>
              <w:rPr>
                <w:rFonts w:ascii="Times New Roman" w:hAnsi="Times New Roman"/>
              </w:rPr>
            </w:pPr>
            <w:r w:rsidRPr="0031421A">
              <w:rPr>
                <w:rFonts w:ascii="Times New Roman" w:hAnsi="Times New Roman"/>
              </w:rPr>
              <w:t>2015 (прогноз)</w:t>
            </w:r>
          </w:p>
        </w:tc>
        <w:tc>
          <w:tcPr>
            <w:tcW w:w="626" w:type="pct"/>
            <w:noWrap/>
            <w:hideMark/>
          </w:tcPr>
          <w:p w:rsidR="007F3176" w:rsidRPr="0031421A" w:rsidRDefault="007F3176" w:rsidP="00246ADB">
            <w:pPr>
              <w:widowControl w:val="0"/>
              <w:jc w:val="center"/>
              <w:rPr>
                <w:rFonts w:ascii="Times New Roman" w:hAnsi="Times New Roman"/>
              </w:rPr>
            </w:pPr>
            <w:r w:rsidRPr="0031421A">
              <w:rPr>
                <w:rFonts w:ascii="Times New Roman" w:hAnsi="Times New Roman"/>
              </w:rPr>
              <w:t>2016 (прогноз)</w:t>
            </w:r>
          </w:p>
        </w:tc>
        <w:tc>
          <w:tcPr>
            <w:tcW w:w="626" w:type="pct"/>
            <w:noWrap/>
            <w:hideMark/>
          </w:tcPr>
          <w:p w:rsidR="007F3176" w:rsidRPr="0031421A" w:rsidRDefault="007F3176" w:rsidP="00246ADB">
            <w:pPr>
              <w:widowControl w:val="0"/>
              <w:jc w:val="center"/>
              <w:rPr>
                <w:rFonts w:ascii="Times New Roman" w:hAnsi="Times New Roman"/>
              </w:rPr>
            </w:pPr>
            <w:r w:rsidRPr="0031421A">
              <w:rPr>
                <w:rFonts w:ascii="Times New Roman" w:hAnsi="Times New Roman"/>
              </w:rPr>
              <w:t>2017 (прогноз)</w:t>
            </w:r>
          </w:p>
        </w:tc>
      </w:tr>
      <w:tr w:rsidR="007F3176" w:rsidRPr="0031421A" w:rsidTr="00246ADB">
        <w:trPr>
          <w:trHeight w:val="300"/>
        </w:trPr>
        <w:tc>
          <w:tcPr>
            <w:tcW w:w="1871" w:type="pct"/>
            <w:noWrap/>
            <w:hideMark/>
          </w:tcPr>
          <w:p w:rsidR="007F3176" w:rsidRPr="0031421A" w:rsidRDefault="007F3176" w:rsidP="00246ADB">
            <w:pPr>
              <w:widowControl w:val="0"/>
              <w:rPr>
                <w:rFonts w:ascii="Times New Roman" w:hAnsi="Times New Roman"/>
              </w:rPr>
            </w:pPr>
            <w:r w:rsidRPr="0031421A">
              <w:rPr>
                <w:rFonts w:ascii="Times New Roman" w:hAnsi="Times New Roman"/>
              </w:rPr>
              <w:t>Индекс промышленного производства по России</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0,4</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1,7</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1,6</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1,7</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2,1</w:t>
            </w:r>
          </w:p>
        </w:tc>
      </w:tr>
      <w:tr w:rsidR="007F3176" w:rsidRPr="0031421A" w:rsidTr="00246ADB">
        <w:trPr>
          <w:trHeight w:val="300"/>
        </w:trPr>
        <w:tc>
          <w:tcPr>
            <w:tcW w:w="1871" w:type="pct"/>
            <w:noWrap/>
            <w:hideMark/>
          </w:tcPr>
          <w:p w:rsidR="007F3176" w:rsidRPr="0031421A" w:rsidRDefault="007F3176" w:rsidP="00246ADB">
            <w:pPr>
              <w:widowControl w:val="0"/>
              <w:rPr>
                <w:rFonts w:ascii="Times New Roman" w:hAnsi="Times New Roman"/>
              </w:rPr>
            </w:pPr>
            <w:r w:rsidRPr="0031421A">
              <w:rPr>
                <w:rFonts w:ascii="Times New Roman" w:hAnsi="Times New Roman"/>
              </w:rPr>
              <w:t>Индекс промышленного производства по Амурской области</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5,4</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2,3</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102</w:t>
            </w:r>
            <w:r w:rsidRPr="0031421A">
              <w:rPr>
                <w:rFonts w:ascii="Times New Roman" w:hAnsi="Times New Roman"/>
              </w:rPr>
              <w:t>,</w:t>
            </w:r>
            <w:r>
              <w:rPr>
                <w:rFonts w:ascii="Times New Roman" w:hAnsi="Times New Roman"/>
              </w:rPr>
              <w:t>6</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103</w:t>
            </w:r>
            <w:r w:rsidRPr="0031421A">
              <w:rPr>
                <w:rFonts w:ascii="Times New Roman" w:hAnsi="Times New Roman"/>
              </w:rPr>
              <w:t>,</w:t>
            </w:r>
            <w:r>
              <w:rPr>
                <w:rFonts w:ascii="Times New Roman" w:hAnsi="Times New Roman"/>
              </w:rPr>
              <w:t>5</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104,0</w:t>
            </w:r>
          </w:p>
        </w:tc>
      </w:tr>
      <w:tr w:rsidR="007F3176" w:rsidRPr="0031421A" w:rsidTr="00246ADB">
        <w:trPr>
          <w:trHeight w:val="300"/>
        </w:trPr>
        <w:tc>
          <w:tcPr>
            <w:tcW w:w="1871" w:type="pct"/>
            <w:noWrap/>
            <w:hideMark/>
          </w:tcPr>
          <w:p w:rsidR="007F3176" w:rsidRPr="0031421A" w:rsidRDefault="007F3176" w:rsidP="00246ADB">
            <w:pPr>
              <w:widowControl w:val="0"/>
              <w:rPr>
                <w:rFonts w:ascii="Times New Roman" w:hAnsi="Times New Roman"/>
              </w:rPr>
            </w:pPr>
            <w:r w:rsidRPr="0031421A">
              <w:rPr>
                <w:rFonts w:ascii="Times New Roman" w:hAnsi="Times New Roman"/>
              </w:rPr>
              <w:t>Индекс промышленного производства по добыче полезных ископаемых</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5,3</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1,83</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100</w:t>
            </w:r>
            <w:r w:rsidRPr="0031421A">
              <w:rPr>
                <w:rFonts w:ascii="Times New Roman" w:hAnsi="Times New Roman"/>
              </w:rPr>
              <w:t>,</w:t>
            </w:r>
            <w:r>
              <w:rPr>
                <w:rFonts w:ascii="Times New Roman" w:hAnsi="Times New Roman"/>
              </w:rPr>
              <w:t>0</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0,</w:t>
            </w:r>
            <w:r>
              <w:rPr>
                <w:rFonts w:ascii="Times New Roman" w:hAnsi="Times New Roman"/>
              </w:rPr>
              <w:t>24</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0,</w:t>
            </w:r>
            <w:r>
              <w:rPr>
                <w:rFonts w:ascii="Times New Roman" w:hAnsi="Times New Roman"/>
              </w:rPr>
              <w:t>0</w:t>
            </w:r>
          </w:p>
        </w:tc>
      </w:tr>
      <w:tr w:rsidR="007F3176" w:rsidRPr="0031421A" w:rsidTr="00246ADB">
        <w:trPr>
          <w:trHeight w:val="300"/>
        </w:trPr>
        <w:tc>
          <w:tcPr>
            <w:tcW w:w="1871" w:type="pct"/>
            <w:noWrap/>
            <w:hideMark/>
          </w:tcPr>
          <w:p w:rsidR="007F3176" w:rsidRPr="0031421A" w:rsidRDefault="007F3176" w:rsidP="00246ADB">
            <w:pPr>
              <w:widowControl w:val="0"/>
              <w:rPr>
                <w:rFonts w:ascii="Times New Roman" w:hAnsi="Times New Roman"/>
              </w:rPr>
            </w:pPr>
            <w:r w:rsidRPr="0031421A">
              <w:rPr>
                <w:rFonts w:ascii="Times New Roman" w:hAnsi="Times New Roman"/>
              </w:rPr>
              <w:t>Индекс промышленного производства по обрабатывающим производствам</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3,5</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2</w:t>
            </w:r>
            <w:r>
              <w:rPr>
                <w:rFonts w:ascii="Times New Roman" w:hAnsi="Times New Roman"/>
              </w:rPr>
              <w:t>,0</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100,0</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101,0</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101</w:t>
            </w:r>
            <w:r w:rsidRPr="0031421A">
              <w:rPr>
                <w:rFonts w:ascii="Times New Roman" w:hAnsi="Times New Roman"/>
              </w:rPr>
              <w:t>,</w:t>
            </w:r>
            <w:r>
              <w:rPr>
                <w:rFonts w:ascii="Times New Roman" w:hAnsi="Times New Roman"/>
              </w:rPr>
              <w:t>6</w:t>
            </w:r>
          </w:p>
        </w:tc>
      </w:tr>
      <w:tr w:rsidR="007F3176" w:rsidRPr="0031421A" w:rsidTr="00246ADB">
        <w:trPr>
          <w:trHeight w:val="300"/>
        </w:trPr>
        <w:tc>
          <w:tcPr>
            <w:tcW w:w="1871" w:type="pct"/>
            <w:noWrap/>
            <w:hideMark/>
          </w:tcPr>
          <w:p w:rsidR="007F3176" w:rsidRPr="0031421A" w:rsidRDefault="007F3176" w:rsidP="00246ADB">
            <w:pPr>
              <w:widowControl w:val="0"/>
              <w:rPr>
                <w:rFonts w:ascii="Times New Roman" w:hAnsi="Times New Roman"/>
              </w:rPr>
            </w:pPr>
            <w:r w:rsidRPr="0031421A">
              <w:rPr>
                <w:rFonts w:ascii="Times New Roman" w:hAnsi="Times New Roman"/>
              </w:rPr>
              <w:t>Индекс промышленного производства по распределению электроэнергии, газа и воды</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7,1</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0,9</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105,0</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7,</w:t>
            </w:r>
            <w:r>
              <w:rPr>
                <w:rFonts w:ascii="Times New Roman" w:hAnsi="Times New Roman"/>
              </w:rPr>
              <w:t>4</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w:t>
            </w:r>
            <w:r w:rsidRPr="0031421A">
              <w:rPr>
                <w:rFonts w:ascii="Times New Roman" w:hAnsi="Times New Roman"/>
              </w:rPr>
              <w:t>1,</w:t>
            </w:r>
            <w:r>
              <w:rPr>
                <w:rFonts w:ascii="Times New Roman" w:hAnsi="Times New Roman"/>
              </w:rPr>
              <w:t>0</w:t>
            </w:r>
          </w:p>
        </w:tc>
      </w:tr>
      <w:tr w:rsidR="007F3176" w:rsidRPr="0031421A" w:rsidTr="00246ADB">
        <w:trPr>
          <w:trHeight w:val="300"/>
        </w:trPr>
        <w:tc>
          <w:tcPr>
            <w:tcW w:w="1871" w:type="pct"/>
            <w:noWrap/>
            <w:hideMark/>
          </w:tcPr>
          <w:p w:rsidR="007F3176" w:rsidRPr="0031421A" w:rsidRDefault="007F3176" w:rsidP="00246ADB">
            <w:pPr>
              <w:widowControl w:val="0"/>
              <w:rPr>
                <w:rFonts w:ascii="Times New Roman" w:hAnsi="Times New Roman"/>
              </w:rPr>
            </w:pPr>
            <w:r w:rsidRPr="0031421A">
              <w:rPr>
                <w:rFonts w:ascii="Times New Roman" w:hAnsi="Times New Roman"/>
              </w:rPr>
              <w:t>Индекс производства в сельском хозяйстве</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71,4</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103,1</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101,2</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100,4</w:t>
            </w:r>
          </w:p>
        </w:tc>
        <w:tc>
          <w:tcPr>
            <w:tcW w:w="626" w:type="pct"/>
            <w:noWrap/>
            <w:hideMark/>
          </w:tcPr>
          <w:p w:rsidR="007F3176" w:rsidRPr="0031421A" w:rsidRDefault="007F3176" w:rsidP="00246ADB">
            <w:pPr>
              <w:widowControl w:val="0"/>
              <w:jc w:val="center"/>
              <w:rPr>
                <w:rFonts w:ascii="Times New Roman" w:hAnsi="Times New Roman"/>
              </w:rPr>
            </w:pPr>
            <w:r>
              <w:rPr>
                <w:rFonts w:ascii="Times New Roman" w:hAnsi="Times New Roman"/>
              </w:rPr>
              <w:t>100,72</w:t>
            </w:r>
          </w:p>
        </w:tc>
      </w:tr>
    </w:tbl>
    <w:p w:rsidR="007F3176" w:rsidRPr="00321BA1" w:rsidRDefault="007F3176" w:rsidP="007F3176">
      <w:pPr>
        <w:widowControl w:val="0"/>
        <w:spacing w:after="0" w:line="240" w:lineRule="auto"/>
        <w:ind w:firstLine="709"/>
        <w:jc w:val="center"/>
        <w:rPr>
          <w:rFonts w:ascii="Times New Roman" w:hAnsi="Times New Roman"/>
          <w:sz w:val="24"/>
          <w:szCs w:val="24"/>
        </w:rPr>
      </w:pPr>
    </w:p>
    <w:p w:rsidR="007F3176" w:rsidRDefault="007F3176" w:rsidP="007F3176">
      <w:pPr>
        <w:widowControl w:val="0"/>
        <w:spacing w:after="0" w:line="240" w:lineRule="auto"/>
        <w:ind w:firstLine="709"/>
        <w:jc w:val="both"/>
        <w:rPr>
          <w:rFonts w:ascii="Times New Roman" w:hAnsi="Times New Roman"/>
          <w:sz w:val="24"/>
          <w:szCs w:val="24"/>
        </w:rPr>
      </w:pPr>
      <w:r w:rsidRPr="00CA401C">
        <w:rPr>
          <w:rFonts w:ascii="Times New Roman" w:hAnsi="Times New Roman"/>
          <w:sz w:val="24"/>
          <w:szCs w:val="24"/>
        </w:rPr>
        <w:t xml:space="preserve">По оценке 2014 года индекс промышленного производства </w:t>
      </w:r>
      <w:r>
        <w:rPr>
          <w:rFonts w:ascii="Times New Roman" w:hAnsi="Times New Roman"/>
          <w:sz w:val="24"/>
          <w:szCs w:val="24"/>
        </w:rPr>
        <w:t xml:space="preserve">Амурской области </w:t>
      </w:r>
      <w:r w:rsidRPr="00CA401C">
        <w:rPr>
          <w:rFonts w:ascii="Times New Roman" w:hAnsi="Times New Roman"/>
          <w:sz w:val="24"/>
          <w:szCs w:val="24"/>
        </w:rPr>
        <w:t>составит 102,3 процента по сравнению с 2013</w:t>
      </w:r>
      <w:r>
        <w:rPr>
          <w:rFonts w:ascii="Times New Roman" w:hAnsi="Times New Roman"/>
          <w:sz w:val="24"/>
          <w:szCs w:val="24"/>
        </w:rPr>
        <w:t xml:space="preserve"> годом.</w:t>
      </w:r>
    </w:p>
    <w:p w:rsidR="007F3176" w:rsidRPr="00CA401C" w:rsidRDefault="007F3176" w:rsidP="007F3176">
      <w:pPr>
        <w:widowControl w:val="0"/>
        <w:spacing w:after="0" w:line="240" w:lineRule="auto"/>
        <w:ind w:firstLine="709"/>
        <w:jc w:val="both"/>
        <w:rPr>
          <w:rFonts w:ascii="Times New Roman" w:hAnsi="Times New Roman"/>
          <w:sz w:val="24"/>
          <w:szCs w:val="24"/>
        </w:rPr>
      </w:pPr>
      <w:r w:rsidRPr="00CA401C">
        <w:rPr>
          <w:rFonts w:ascii="Times New Roman" w:hAnsi="Times New Roman"/>
          <w:sz w:val="24"/>
          <w:szCs w:val="24"/>
        </w:rPr>
        <w:t>В прогнозируемом периоде предполагается положительная динамика индекса промышленного производства с увеличением темпов роста данного показателя в обоих вариантах развития</w:t>
      </w:r>
      <w:r>
        <w:rPr>
          <w:rFonts w:ascii="Times New Roman" w:hAnsi="Times New Roman"/>
          <w:sz w:val="24"/>
          <w:szCs w:val="24"/>
        </w:rPr>
        <w:t>, начиная с 2015 года. Темп роста индекса промышленного производства согласно прогнозу составит</w:t>
      </w:r>
      <w:r w:rsidRPr="00CA401C">
        <w:rPr>
          <w:rFonts w:ascii="Times New Roman" w:hAnsi="Times New Roman"/>
          <w:sz w:val="24"/>
          <w:szCs w:val="24"/>
        </w:rPr>
        <w:t>: в 2015 году – 102,6 процента (вариант 1) – 103,3 процента (вариант 2); в 2016 году – 103,5-104,1 процента; в 2017 году - до 104,0 – 105,0 процента.</w:t>
      </w:r>
    </w:p>
    <w:p w:rsidR="007F3176" w:rsidRPr="00E16F1D" w:rsidRDefault="007F3176" w:rsidP="007F3176">
      <w:pPr>
        <w:widowControl w:val="0"/>
        <w:spacing w:after="0" w:line="240" w:lineRule="auto"/>
        <w:ind w:firstLine="709"/>
        <w:jc w:val="both"/>
        <w:rPr>
          <w:rFonts w:ascii="Times New Roman" w:hAnsi="Times New Roman"/>
          <w:sz w:val="24"/>
          <w:szCs w:val="24"/>
        </w:rPr>
      </w:pPr>
      <w:r w:rsidRPr="00E16F1D">
        <w:rPr>
          <w:rFonts w:ascii="Times New Roman" w:hAnsi="Times New Roman"/>
          <w:sz w:val="24"/>
          <w:szCs w:val="24"/>
        </w:rPr>
        <w:t xml:space="preserve">В 2015 году относительно 2014 года прогнозируется увеличение индекса производства по распределению электроэнергии, газа и воды на 5,0-5,4 процентных пункта (по вариантам 1 и 2, соответственно), в 2016 году относительно 2015 года – на </w:t>
      </w:r>
      <w:r>
        <w:rPr>
          <w:rFonts w:ascii="Times New Roman" w:hAnsi="Times New Roman"/>
          <w:sz w:val="24"/>
          <w:szCs w:val="24"/>
        </w:rPr>
        <w:br/>
      </w:r>
      <w:r w:rsidRPr="00E16F1D">
        <w:rPr>
          <w:rFonts w:ascii="Times New Roman" w:hAnsi="Times New Roman"/>
          <w:sz w:val="24"/>
          <w:szCs w:val="24"/>
        </w:rPr>
        <w:t>7,4-7,9 процентных пункт</w:t>
      </w:r>
      <w:r>
        <w:rPr>
          <w:rFonts w:ascii="Times New Roman" w:hAnsi="Times New Roman"/>
          <w:sz w:val="24"/>
          <w:szCs w:val="24"/>
        </w:rPr>
        <w:t>а</w:t>
      </w:r>
      <w:r w:rsidRPr="00E16F1D">
        <w:rPr>
          <w:rFonts w:ascii="Times New Roman" w:hAnsi="Times New Roman"/>
          <w:sz w:val="24"/>
          <w:szCs w:val="24"/>
        </w:rPr>
        <w:t>, в 2017 году относительно 2016 года – на 1,0-1,5 процентных пункт</w:t>
      </w:r>
      <w:r>
        <w:rPr>
          <w:rFonts w:ascii="Times New Roman" w:hAnsi="Times New Roman"/>
          <w:sz w:val="24"/>
          <w:szCs w:val="24"/>
        </w:rPr>
        <w:t>а</w:t>
      </w:r>
      <w:r w:rsidRPr="00E16F1D">
        <w:rPr>
          <w:rFonts w:ascii="Times New Roman" w:hAnsi="Times New Roman"/>
          <w:sz w:val="24"/>
          <w:szCs w:val="24"/>
        </w:rPr>
        <w:t>.</w:t>
      </w:r>
    </w:p>
    <w:p w:rsidR="007F3176" w:rsidRPr="00E16F1D" w:rsidRDefault="007F3176" w:rsidP="007F3176">
      <w:pPr>
        <w:widowControl w:val="0"/>
        <w:spacing w:after="0" w:line="240" w:lineRule="auto"/>
        <w:ind w:firstLine="709"/>
        <w:jc w:val="both"/>
        <w:rPr>
          <w:rFonts w:ascii="Times New Roman" w:hAnsi="Times New Roman"/>
          <w:sz w:val="24"/>
          <w:szCs w:val="24"/>
        </w:rPr>
      </w:pPr>
      <w:r w:rsidRPr="00E16F1D">
        <w:rPr>
          <w:rFonts w:ascii="Times New Roman" w:hAnsi="Times New Roman"/>
          <w:sz w:val="24"/>
          <w:szCs w:val="24"/>
        </w:rPr>
        <w:t xml:space="preserve">В сфере обрабатывающих производств также ожидается рост промышленного производства: в 2015 году относительно 2014 года на 0,5 процентных пункта (по варианту 2), в 2016 году относительно 2015 года – на 1,0-1,9 процентных пункта (по вариантам 1 и 2, </w:t>
      </w:r>
      <w:r w:rsidRPr="00E16F1D">
        <w:rPr>
          <w:rFonts w:ascii="Times New Roman" w:hAnsi="Times New Roman"/>
          <w:sz w:val="24"/>
          <w:szCs w:val="24"/>
        </w:rPr>
        <w:lastRenderedPageBreak/>
        <w:t>соответственно), в 2017 году относительно 2016 года – на 1,6-2,3 процентных пункта.</w:t>
      </w:r>
    </w:p>
    <w:p w:rsidR="007F3176" w:rsidRPr="00033D10" w:rsidRDefault="007F3176" w:rsidP="007F3176">
      <w:pPr>
        <w:widowControl w:val="0"/>
        <w:spacing w:after="0" w:line="240" w:lineRule="auto"/>
        <w:ind w:firstLine="709"/>
        <w:jc w:val="both"/>
        <w:rPr>
          <w:rFonts w:ascii="Times New Roman" w:hAnsi="Times New Roman"/>
          <w:sz w:val="24"/>
          <w:szCs w:val="24"/>
        </w:rPr>
      </w:pPr>
      <w:r w:rsidRPr="00033D10">
        <w:rPr>
          <w:rFonts w:ascii="Times New Roman" w:hAnsi="Times New Roman"/>
          <w:sz w:val="24"/>
          <w:szCs w:val="24"/>
        </w:rPr>
        <w:t>Выработка электроэнергии по оценочным данным в 201</w:t>
      </w:r>
      <w:r>
        <w:rPr>
          <w:rFonts w:ascii="Times New Roman" w:hAnsi="Times New Roman"/>
          <w:sz w:val="24"/>
          <w:szCs w:val="24"/>
        </w:rPr>
        <w:t>4</w:t>
      </w:r>
      <w:r w:rsidRPr="00033D10">
        <w:rPr>
          <w:rFonts w:ascii="Times New Roman" w:hAnsi="Times New Roman"/>
          <w:sz w:val="24"/>
          <w:szCs w:val="24"/>
        </w:rPr>
        <w:t xml:space="preserve"> году составит 1</w:t>
      </w:r>
      <w:r>
        <w:rPr>
          <w:rFonts w:ascii="Times New Roman" w:hAnsi="Times New Roman"/>
          <w:sz w:val="24"/>
          <w:szCs w:val="24"/>
        </w:rPr>
        <w:t>5</w:t>
      </w:r>
      <w:r w:rsidRPr="00033D10">
        <w:rPr>
          <w:rFonts w:ascii="Times New Roman" w:hAnsi="Times New Roman"/>
          <w:sz w:val="24"/>
          <w:szCs w:val="24"/>
        </w:rPr>
        <w:t>,</w:t>
      </w:r>
      <w:r>
        <w:rPr>
          <w:rFonts w:ascii="Times New Roman" w:hAnsi="Times New Roman"/>
          <w:sz w:val="24"/>
          <w:szCs w:val="24"/>
        </w:rPr>
        <w:t>3</w:t>
      </w:r>
      <w:r w:rsidRPr="00033D10">
        <w:rPr>
          <w:rFonts w:ascii="Times New Roman" w:hAnsi="Times New Roman"/>
          <w:sz w:val="24"/>
          <w:szCs w:val="24"/>
        </w:rPr>
        <w:t xml:space="preserve"> млрд. кВт.ч., в </w:t>
      </w:r>
      <w:r>
        <w:rPr>
          <w:rFonts w:ascii="Times New Roman" w:hAnsi="Times New Roman"/>
          <w:sz w:val="24"/>
          <w:szCs w:val="24"/>
        </w:rPr>
        <w:t>2015</w:t>
      </w:r>
      <w:r w:rsidRPr="00033D10">
        <w:rPr>
          <w:rFonts w:ascii="Times New Roman" w:hAnsi="Times New Roman"/>
          <w:sz w:val="24"/>
          <w:szCs w:val="24"/>
        </w:rPr>
        <w:t xml:space="preserve"> году – 1</w:t>
      </w:r>
      <w:r>
        <w:rPr>
          <w:rFonts w:ascii="Times New Roman" w:hAnsi="Times New Roman"/>
          <w:sz w:val="24"/>
          <w:szCs w:val="24"/>
        </w:rPr>
        <w:t>6</w:t>
      </w:r>
      <w:r w:rsidRPr="00033D10">
        <w:rPr>
          <w:rFonts w:ascii="Times New Roman" w:hAnsi="Times New Roman"/>
          <w:sz w:val="24"/>
          <w:szCs w:val="24"/>
        </w:rPr>
        <w:t>,</w:t>
      </w:r>
      <w:r>
        <w:rPr>
          <w:rFonts w:ascii="Times New Roman" w:hAnsi="Times New Roman"/>
          <w:sz w:val="24"/>
          <w:szCs w:val="24"/>
        </w:rPr>
        <w:t>13</w:t>
      </w:r>
      <w:r w:rsidRPr="00033D10">
        <w:rPr>
          <w:rFonts w:ascii="Times New Roman" w:hAnsi="Times New Roman"/>
          <w:sz w:val="24"/>
          <w:szCs w:val="24"/>
        </w:rPr>
        <w:t xml:space="preserve"> млрд. кВт.ч., в </w:t>
      </w:r>
      <w:r>
        <w:rPr>
          <w:rFonts w:ascii="Times New Roman" w:hAnsi="Times New Roman"/>
          <w:sz w:val="24"/>
          <w:szCs w:val="24"/>
        </w:rPr>
        <w:t>2016</w:t>
      </w:r>
      <w:r w:rsidRPr="00033D10">
        <w:rPr>
          <w:rFonts w:ascii="Times New Roman" w:hAnsi="Times New Roman"/>
          <w:sz w:val="24"/>
          <w:szCs w:val="24"/>
        </w:rPr>
        <w:t xml:space="preserve"> году – 1</w:t>
      </w:r>
      <w:r>
        <w:rPr>
          <w:rFonts w:ascii="Times New Roman" w:hAnsi="Times New Roman"/>
          <w:sz w:val="24"/>
          <w:szCs w:val="24"/>
        </w:rPr>
        <w:t>7</w:t>
      </w:r>
      <w:r w:rsidRPr="00033D10">
        <w:rPr>
          <w:rFonts w:ascii="Times New Roman" w:hAnsi="Times New Roman"/>
          <w:sz w:val="24"/>
          <w:szCs w:val="24"/>
        </w:rPr>
        <w:t>,</w:t>
      </w:r>
      <w:r>
        <w:rPr>
          <w:rFonts w:ascii="Times New Roman" w:hAnsi="Times New Roman"/>
          <w:sz w:val="24"/>
          <w:szCs w:val="24"/>
        </w:rPr>
        <w:t>4</w:t>
      </w:r>
      <w:r w:rsidRPr="00033D10">
        <w:rPr>
          <w:rFonts w:ascii="Times New Roman" w:hAnsi="Times New Roman"/>
          <w:sz w:val="24"/>
          <w:szCs w:val="24"/>
        </w:rPr>
        <w:t xml:space="preserve"> млрд. кВт.ч., в </w:t>
      </w:r>
      <w:r>
        <w:rPr>
          <w:rFonts w:ascii="Times New Roman" w:hAnsi="Times New Roman"/>
          <w:sz w:val="24"/>
          <w:szCs w:val="24"/>
        </w:rPr>
        <w:t>2017</w:t>
      </w:r>
      <w:r w:rsidRPr="00033D10">
        <w:rPr>
          <w:rFonts w:ascii="Times New Roman" w:hAnsi="Times New Roman"/>
          <w:sz w:val="24"/>
          <w:szCs w:val="24"/>
        </w:rPr>
        <w:t xml:space="preserve"> году – </w:t>
      </w:r>
      <w:r>
        <w:rPr>
          <w:rFonts w:ascii="Times New Roman" w:hAnsi="Times New Roman"/>
          <w:sz w:val="24"/>
          <w:szCs w:val="24"/>
        </w:rPr>
        <w:br/>
      </w:r>
      <w:r w:rsidRPr="00033D10">
        <w:rPr>
          <w:rFonts w:ascii="Times New Roman" w:hAnsi="Times New Roman"/>
          <w:sz w:val="24"/>
          <w:szCs w:val="24"/>
        </w:rPr>
        <w:t>1</w:t>
      </w:r>
      <w:r>
        <w:rPr>
          <w:rFonts w:ascii="Times New Roman" w:hAnsi="Times New Roman"/>
          <w:sz w:val="24"/>
          <w:szCs w:val="24"/>
        </w:rPr>
        <w:t>7</w:t>
      </w:r>
      <w:r w:rsidRPr="00033D10">
        <w:rPr>
          <w:rFonts w:ascii="Times New Roman" w:hAnsi="Times New Roman"/>
          <w:sz w:val="24"/>
          <w:szCs w:val="24"/>
        </w:rPr>
        <w:t>,</w:t>
      </w:r>
      <w:r>
        <w:rPr>
          <w:rFonts w:ascii="Times New Roman" w:hAnsi="Times New Roman"/>
          <w:sz w:val="24"/>
          <w:szCs w:val="24"/>
        </w:rPr>
        <w:t>4</w:t>
      </w:r>
      <w:r w:rsidRPr="00033D10">
        <w:rPr>
          <w:rFonts w:ascii="Times New Roman" w:hAnsi="Times New Roman"/>
          <w:sz w:val="24"/>
          <w:szCs w:val="24"/>
        </w:rPr>
        <w:t xml:space="preserve"> млрд. кВт.ч.</w:t>
      </w:r>
    </w:p>
    <w:p w:rsidR="007F3176" w:rsidRPr="00033D10" w:rsidRDefault="007F3176" w:rsidP="007F3176">
      <w:pPr>
        <w:widowControl w:val="0"/>
        <w:spacing w:after="0" w:line="240" w:lineRule="auto"/>
        <w:ind w:firstLine="709"/>
        <w:jc w:val="both"/>
        <w:rPr>
          <w:rFonts w:ascii="Times New Roman" w:hAnsi="Times New Roman"/>
          <w:sz w:val="24"/>
          <w:szCs w:val="24"/>
        </w:rPr>
      </w:pPr>
      <w:r w:rsidRPr="00033D10">
        <w:rPr>
          <w:rFonts w:ascii="Times New Roman" w:hAnsi="Times New Roman"/>
          <w:sz w:val="24"/>
          <w:szCs w:val="24"/>
        </w:rPr>
        <w:t xml:space="preserve">Общее увеличение выработки электроэнергии в </w:t>
      </w:r>
      <w:r>
        <w:rPr>
          <w:rFonts w:ascii="Times New Roman" w:hAnsi="Times New Roman"/>
          <w:sz w:val="24"/>
          <w:szCs w:val="24"/>
        </w:rPr>
        <w:t>2017</w:t>
      </w:r>
      <w:r w:rsidRPr="00033D10">
        <w:rPr>
          <w:rFonts w:ascii="Times New Roman" w:hAnsi="Times New Roman"/>
          <w:sz w:val="24"/>
          <w:szCs w:val="24"/>
        </w:rPr>
        <w:t xml:space="preserve"> году по сравнению с 201</w:t>
      </w:r>
      <w:r>
        <w:rPr>
          <w:rFonts w:ascii="Times New Roman" w:hAnsi="Times New Roman"/>
          <w:sz w:val="24"/>
          <w:szCs w:val="24"/>
        </w:rPr>
        <w:t>3</w:t>
      </w:r>
      <w:r w:rsidRPr="00033D10">
        <w:rPr>
          <w:rFonts w:ascii="Times New Roman" w:hAnsi="Times New Roman"/>
          <w:sz w:val="24"/>
          <w:szCs w:val="24"/>
        </w:rPr>
        <w:t xml:space="preserve"> годом составит </w:t>
      </w:r>
      <w:r>
        <w:rPr>
          <w:rFonts w:ascii="Times New Roman" w:hAnsi="Times New Roman"/>
          <w:sz w:val="24"/>
          <w:szCs w:val="24"/>
        </w:rPr>
        <w:t>14</w:t>
      </w:r>
      <w:r w:rsidRPr="00033D10">
        <w:rPr>
          <w:rFonts w:ascii="Times New Roman" w:hAnsi="Times New Roman"/>
          <w:sz w:val="24"/>
          <w:szCs w:val="24"/>
        </w:rPr>
        <w:t>,</w:t>
      </w:r>
      <w:r>
        <w:rPr>
          <w:rFonts w:ascii="Times New Roman" w:hAnsi="Times New Roman"/>
          <w:sz w:val="24"/>
          <w:szCs w:val="24"/>
        </w:rPr>
        <w:t>9</w:t>
      </w:r>
      <w:r w:rsidRPr="00033D10">
        <w:rPr>
          <w:rFonts w:ascii="Times New Roman" w:hAnsi="Times New Roman"/>
          <w:sz w:val="24"/>
          <w:szCs w:val="24"/>
        </w:rPr>
        <w:t xml:space="preserve"> процента. Согласно пояснительной записке к прогнозу такое увеличение будет связано с вводом Нижне-Бурейской ГЭС в </w:t>
      </w:r>
      <w:r>
        <w:rPr>
          <w:rFonts w:ascii="Times New Roman" w:hAnsi="Times New Roman"/>
          <w:sz w:val="24"/>
          <w:szCs w:val="24"/>
        </w:rPr>
        <w:t>2015</w:t>
      </w:r>
      <w:r w:rsidRPr="00033D10">
        <w:rPr>
          <w:rFonts w:ascii="Times New Roman" w:hAnsi="Times New Roman"/>
          <w:sz w:val="24"/>
          <w:szCs w:val="24"/>
        </w:rPr>
        <w:t>-</w:t>
      </w:r>
      <w:r>
        <w:rPr>
          <w:rFonts w:ascii="Times New Roman" w:hAnsi="Times New Roman"/>
          <w:sz w:val="24"/>
          <w:szCs w:val="24"/>
        </w:rPr>
        <w:t>2016</w:t>
      </w:r>
      <w:r w:rsidRPr="00033D10">
        <w:rPr>
          <w:rFonts w:ascii="Times New Roman" w:hAnsi="Times New Roman"/>
          <w:sz w:val="24"/>
          <w:szCs w:val="24"/>
        </w:rPr>
        <w:t xml:space="preserve"> годах, а также второй очереди Благовещенской ТЭЦ в 3 квартале </w:t>
      </w:r>
      <w:r>
        <w:rPr>
          <w:rFonts w:ascii="Times New Roman" w:hAnsi="Times New Roman"/>
          <w:sz w:val="24"/>
          <w:szCs w:val="24"/>
        </w:rPr>
        <w:t>2016</w:t>
      </w:r>
      <w:r w:rsidRPr="00033D10">
        <w:rPr>
          <w:rFonts w:ascii="Times New Roman" w:hAnsi="Times New Roman"/>
          <w:sz w:val="24"/>
          <w:szCs w:val="24"/>
        </w:rPr>
        <w:t xml:space="preserve"> года.</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Показатели развития сельского хозяйства Амурской области на 2015-2017 годы спрогнозированы в соответствии с Соглашением между Министерством сельского хозяйства Российской Федерации и Правительством Амурской области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от 12.12.2012 № 2508/17.</w:t>
      </w:r>
    </w:p>
    <w:p w:rsidR="007F3176" w:rsidRDefault="007F3176" w:rsidP="007F3176">
      <w:pPr>
        <w:widowControl w:val="0"/>
        <w:spacing w:after="0" w:line="240" w:lineRule="auto"/>
        <w:ind w:firstLine="709"/>
        <w:jc w:val="both"/>
        <w:rPr>
          <w:rFonts w:ascii="Times New Roman" w:hAnsi="Times New Roman"/>
          <w:sz w:val="24"/>
          <w:szCs w:val="24"/>
        </w:rPr>
      </w:pPr>
      <w:r w:rsidRPr="005524F6">
        <w:rPr>
          <w:rFonts w:ascii="Times New Roman" w:hAnsi="Times New Roman"/>
          <w:sz w:val="24"/>
          <w:szCs w:val="24"/>
        </w:rPr>
        <w:t xml:space="preserve">Прогнозом предполагается рост объемов продукции сельского хозяйства на </w:t>
      </w:r>
      <w:r w:rsidRPr="005524F6">
        <w:rPr>
          <w:rFonts w:ascii="Times New Roman" w:hAnsi="Times New Roman"/>
          <w:sz w:val="24"/>
          <w:szCs w:val="24"/>
        </w:rPr>
        <w:br/>
        <w:t>31,</w:t>
      </w:r>
      <w:r>
        <w:rPr>
          <w:rFonts w:ascii="Times New Roman" w:hAnsi="Times New Roman"/>
          <w:sz w:val="24"/>
          <w:szCs w:val="24"/>
        </w:rPr>
        <w:t>15</w:t>
      </w:r>
      <w:r w:rsidRPr="005524F6">
        <w:rPr>
          <w:rFonts w:ascii="Times New Roman" w:hAnsi="Times New Roman"/>
          <w:sz w:val="24"/>
          <w:szCs w:val="24"/>
        </w:rPr>
        <w:t>–</w:t>
      </w:r>
      <w:r>
        <w:rPr>
          <w:rFonts w:ascii="Times New Roman" w:hAnsi="Times New Roman"/>
          <w:sz w:val="24"/>
          <w:szCs w:val="24"/>
        </w:rPr>
        <w:t>35</w:t>
      </w:r>
      <w:r w:rsidRPr="005524F6">
        <w:rPr>
          <w:rFonts w:ascii="Times New Roman" w:hAnsi="Times New Roman"/>
          <w:sz w:val="24"/>
          <w:szCs w:val="24"/>
        </w:rPr>
        <w:t>,</w:t>
      </w:r>
      <w:r>
        <w:rPr>
          <w:rFonts w:ascii="Times New Roman" w:hAnsi="Times New Roman"/>
          <w:sz w:val="24"/>
          <w:szCs w:val="24"/>
        </w:rPr>
        <w:t>78</w:t>
      </w:r>
      <w:r w:rsidRPr="005524F6">
        <w:rPr>
          <w:rFonts w:ascii="Times New Roman" w:hAnsi="Times New Roman"/>
          <w:sz w:val="24"/>
          <w:szCs w:val="24"/>
        </w:rPr>
        <w:t xml:space="preserve"> процента в </w:t>
      </w:r>
      <w:r>
        <w:rPr>
          <w:rFonts w:ascii="Times New Roman" w:hAnsi="Times New Roman"/>
          <w:sz w:val="24"/>
          <w:szCs w:val="24"/>
        </w:rPr>
        <w:t>2017</w:t>
      </w:r>
      <w:r w:rsidRPr="005524F6">
        <w:rPr>
          <w:rFonts w:ascii="Times New Roman" w:hAnsi="Times New Roman"/>
          <w:sz w:val="24"/>
          <w:szCs w:val="24"/>
        </w:rPr>
        <w:t xml:space="preserve"> году относительно оценки 201</w:t>
      </w:r>
      <w:r>
        <w:rPr>
          <w:rFonts w:ascii="Times New Roman" w:hAnsi="Times New Roman"/>
          <w:sz w:val="24"/>
          <w:szCs w:val="24"/>
        </w:rPr>
        <w:t>4</w:t>
      </w:r>
      <w:r w:rsidRPr="005524F6">
        <w:rPr>
          <w:rFonts w:ascii="Times New Roman" w:hAnsi="Times New Roman"/>
          <w:sz w:val="24"/>
          <w:szCs w:val="24"/>
        </w:rPr>
        <w:t xml:space="preserve"> года. </w:t>
      </w:r>
      <w:r>
        <w:rPr>
          <w:rFonts w:ascii="Times New Roman" w:hAnsi="Times New Roman"/>
          <w:sz w:val="24"/>
          <w:szCs w:val="24"/>
        </w:rPr>
        <w:t xml:space="preserve">Прирост ожидается как в растениеводстве (на 5,3-6,0 процентов по вариантам 1 и 2, соответственно в 2015 году относительно оценки 2014 года), так и животноводстве (на 0,2-6,22 процента, </w:t>
      </w:r>
      <w:r w:rsidRPr="00391417">
        <w:rPr>
          <w:rFonts w:ascii="Times New Roman" w:hAnsi="Times New Roman"/>
          <w:sz w:val="24"/>
          <w:szCs w:val="24"/>
        </w:rPr>
        <w:t>соответственно в 2015 году относительно оценки 2014 года</w:t>
      </w:r>
      <w:r>
        <w:rPr>
          <w:rFonts w:ascii="Times New Roman" w:hAnsi="Times New Roman"/>
          <w:sz w:val="24"/>
          <w:szCs w:val="24"/>
        </w:rPr>
        <w:t>).</w:t>
      </w:r>
    </w:p>
    <w:p w:rsidR="007F3176" w:rsidRPr="00391417" w:rsidRDefault="007F3176" w:rsidP="007F3176">
      <w:pPr>
        <w:widowControl w:val="0"/>
        <w:spacing w:after="0" w:line="240" w:lineRule="auto"/>
        <w:ind w:firstLine="709"/>
        <w:jc w:val="both"/>
        <w:rPr>
          <w:rFonts w:ascii="Times New Roman" w:hAnsi="Times New Roman"/>
          <w:i/>
          <w:sz w:val="24"/>
          <w:szCs w:val="24"/>
        </w:rPr>
      </w:pPr>
      <w:r w:rsidRPr="00391417">
        <w:rPr>
          <w:rFonts w:ascii="Times New Roman" w:hAnsi="Times New Roman"/>
          <w:i/>
          <w:sz w:val="24"/>
          <w:szCs w:val="24"/>
        </w:rPr>
        <w:t xml:space="preserve">Контрольно-счетная палата Амурской области отмечает, что </w:t>
      </w:r>
      <w:r>
        <w:rPr>
          <w:rFonts w:ascii="Times New Roman" w:hAnsi="Times New Roman"/>
          <w:i/>
          <w:sz w:val="24"/>
          <w:szCs w:val="24"/>
        </w:rPr>
        <w:t xml:space="preserve">увязка прогнозных значений </w:t>
      </w:r>
      <w:r w:rsidRPr="00391417">
        <w:rPr>
          <w:rFonts w:ascii="Times New Roman" w:hAnsi="Times New Roman"/>
          <w:i/>
          <w:sz w:val="24"/>
          <w:szCs w:val="24"/>
        </w:rPr>
        <w:t xml:space="preserve">показателей развития сельского хозяйства с программными документами предполагает наличие конкретных механизмов их достижения и повышает качество </w:t>
      </w:r>
      <w:r>
        <w:rPr>
          <w:rFonts w:ascii="Times New Roman" w:hAnsi="Times New Roman"/>
          <w:i/>
          <w:sz w:val="24"/>
          <w:szCs w:val="24"/>
        </w:rPr>
        <w:t xml:space="preserve">и достоверность </w:t>
      </w:r>
      <w:r w:rsidRPr="00391417">
        <w:rPr>
          <w:rFonts w:ascii="Times New Roman" w:hAnsi="Times New Roman"/>
          <w:i/>
          <w:sz w:val="24"/>
          <w:szCs w:val="24"/>
        </w:rPr>
        <w:t>прогноза в данной сфере.</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Рост индексов производства по основным видам деятельности, а также в сельском хозяйстве обусловлен реализацией в прогнозируемом периоде на территории области ряда инвестиционных проектов, таких как:</w:t>
      </w:r>
    </w:p>
    <w:p w:rsidR="007F3176" w:rsidRPr="00087AF5" w:rsidRDefault="007F3176" w:rsidP="007F3176">
      <w:pPr>
        <w:pStyle w:val="ad"/>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087AF5">
        <w:rPr>
          <w:rFonts w:ascii="Times New Roman" w:hAnsi="Times New Roman"/>
          <w:sz w:val="24"/>
          <w:szCs w:val="24"/>
        </w:rPr>
        <w:t>троительство магистрального газопровода «Сила Сибири»;</w:t>
      </w:r>
    </w:p>
    <w:p w:rsidR="007F3176" w:rsidRPr="00087AF5" w:rsidRDefault="007F3176" w:rsidP="007F3176">
      <w:pPr>
        <w:pStyle w:val="ad"/>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087AF5">
        <w:rPr>
          <w:rFonts w:ascii="Times New Roman" w:hAnsi="Times New Roman"/>
          <w:sz w:val="24"/>
          <w:szCs w:val="24"/>
        </w:rPr>
        <w:t>троительство газоперерабатывающего завода, гелиевого и газохимического комплексов;</w:t>
      </w:r>
    </w:p>
    <w:p w:rsidR="007F3176" w:rsidRPr="00087AF5" w:rsidRDefault="007F3176" w:rsidP="007F3176">
      <w:pPr>
        <w:pStyle w:val="ad"/>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087AF5">
        <w:rPr>
          <w:rFonts w:ascii="Times New Roman" w:hAnsi="Times New Roman"/>
          <w:sz w:val="24"/>
          <w:szCs w:val="24"/>
        </w:rPr>
        <w:t>троительство космодрома «Восточный»;</w:t>
      </w:r>
    </w:p>
    <w:p w:rsidR="007F3176" w:rsidRPr="00087AF5" w:rsidRDefault="007F3176" w:rsidP="007F3176">
      <w:pPr>
        <w:pStyle w:val="ad"/>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087AF5">
        <w:rPr>
          <w:rFonts w:ascii="Times New Roman" w:hAnsi="Times New Roman"/>
          <w:sz w:val="24"/>
          <w:szCs w:val="24"/>
        </w:rPr>
        <w:t>троительство Гаринского ГОК;</w:t>
      </w:r>
    </w:p>
    <w:p w:rsidR="007F3176" w:rsidRPr="00087AF5" w:rsidRDefault="007F3176" w:rsidP="007F3176">
      <w:pPr>
        <w:pStyle w:val="ad"/>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087AF5">
        <w:rPr>
          <w:rFonts w:ascii="Times New Roman" w:hAnsi="Times New Roman"/>
          <w:sz w:val="24"/>
          <w:szCs w:val="24"/>
        </w:rPr>
        <w:t>троительство завода по переработке сои, производству комбикормов;</w:t>
      </w:r>
    </w:p>
    <w:p w:rsidR="007F3176" w:rsidRPr="00087AF5" w:rsidRDefault="007F3176" w:rsidP="007F3176">
      <w:pPr>
        <w:pStyle w:val="ad"/>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087AF5">
        <w:rPr>
          <w:rFonts w:ascii="Times New Roman" w:hAnsi="Times New Roman"/>
          <w:sz w:val="24"/>
          <w:szCs w:val="24"/>
        </w:rPr>
        <w:t>еализация мероприятий по развити</w:t>
      </w:r>
      <w:r>
        <w:rPr>
          <w:rFonts w:ascii="Times New Roman" w:hAnsi="Times New Roman"/>
          <w:sz w:val="24"/>
          <w:szCs w:val="24"/>
        </w:rPr>
        <w:t>ю</w:t>
      </w:r>
      <w:r w:rsidRPr="00087AF5">
        <w:rPr>
          <w:rFonts w:ascii="Times New Roman" w:hAnsi="Times New Roman"/>
          <w:sz w:val="24"/>
          <w:szCs w:val="24"/>
        </w:rPr>
        <w:t xml:space="preserve"> Байкало-Амурской магистрали;</w:t>
      </w:r>
    </w:p>
    <w:p w:rsidR="007F3176" w:rsidRPr="00087AF5" w:rsidRDefault="007F3176" w:rsidP="007F3176">
      <w:pPr>
        <w:pStyle w:val="ad"/>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087AF5">
        <w:rPr>
          <w:rFonts w:ascii="Times New Roman" w:hAnsi="Times New Roman"/>
          <w:sz w:val="24"/>
          <w:szCs w:val="24"/>
        </w:rPr>
        <w:t>троительство 2-й очереди Благовещенской ТЭЦ.</w:t>
      </w:r>
    </w:p>
    <w:p w:rsidR="007F3176" w:rsidRDefault="007F3176" w:rsidP="007F3176">
      <w:pPr>
        <w:widowControl w:val="0"/>
        <w:spacing w:after="0" w:line="240" w:lineRule="auto"/>
        <w:ind w:firstLine="709"/>
        <w:jc w:val="both"/>
        <w:rPr>
          <w:rFonts w:ascii="Times New Roman" w:hAnsi="Times New Roman"/>
          <w:sz w:val="24"/>
          <w:szCs w:val="24"/>
        </w:rPr>
      </w:pPr>
      <w:r w:rsidRPr="005524F6">
        <w:rPr>
          <w:rFonts w:ascii="Times New Roman" w:hAnsi="Times New Roman"/>
          <w:sz w:val="24"/>
          <w:szCs w:val="24"/>
        </w:rPr>
        <w:t>Данные о прогнозируемых темпах прироста инвестиций в основной капитал и изменении стоимости основн</w:t>
      </w:r>
      <w:r>
        <w:rPr>
          <w:rFonts w:ascii="Times New Roman" w:hAnsi="Times New Roman"/>
          <w:sz w:val="24"/>
          <w:szCs w:val="24"/>
        </w:rPr>
        <w:t>ых фондов приведены на рисунке 6</w:t>
      </w:r>
      <w:r w:rsidRPr="005524F6">
        <w:rPr>
          <w:rFonts w:ascii="Times New Roman" w:hAnsi="Times New Roman"/>
          <w:sz w:val="24"/>
          <w:szCs w:val="24"/>
        </w:rPr>
        <w:t>.</w:t>
      </w:r>
    </w:p>
    <w:p w:rsidR="007F3176" w:rsidRPr="000E7090" w:rsidRDefault="007F3176" w:rsidP="007F3176">
      <w:pPr>
        <w:widowControl w:val="0"/>
        <w:spacing w:after="0" w:line="240" w:lineRule="auto"/>
        <w:jc w:val="both"/>
        <w:rPr>
          <w:rFonts w:ascii="Times New Roman" w:hAnsi="Times New Roman"/>
          <w:color w:val="000000" w:themeColor="text1"/>
          <w:sz w:val="28"/>
          <w:szCs w:val="28"/>
        </w:rPr>
      </w:pPr>
      <w:r w:rsidRPr="00B54A6B">
        <w:rPr>
          <w:noProof/>
          <w:color w:val="FF0000"/>
        </w:rPr>
        <w:drawing>
          <wp:inline distT="0" distB="0" distL="0" distR="0" wp14:anchorId="10E1E5AE" wp14:editId="4534FB6F">
            <wp:extent cx="6353175" cy="2600325"/>
            <wp:effectExtent l="0" t="0" r="0"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176" w:rsidRDefault="007F3176" w:rsidP="007F3176">
      <w:pPr>
        <w:widowControl w:val="0"/>
        <w:spacing w:after="0" w:line="240" w:lineRule="auto"/>
        <w:jc w:val="center"/>
        <w:rPr>
          <w:rFonts w:ascii="Times New Roman" w:hAnsi="Times New Roman"/>
          <w:b/>
          <w:sz w:val="24"/>
          <w:szCs w:val="24"/>
        </w:rPr>
      </w:pPr>
      <w:r>
        <w:rPr>
          <w:rFonts w:ascii="Times New Roman" w:hAnsi="Times New Roman"/>
          <w:b/>
          <w:sz w:val="24"/>
          <w:szCs w:val="24"/>
        </w:rPr>
        <w:t>Рис. 6</w:t>
      </w:r>
      <w:r w:rsidRPr="005524F6">
        <w:rPr>
          <w:rFonts w:ascii="Times New Roman" w:hAnsi="Times New Roman"/>
          <w:b/>
          <w:sz w:val="24"/>
          <w:szCs w:val="24"/>
        </w:rPr>
        <w:t xml:space="preserve"> - Данные о прогнозируемых темпах прироста инвестиций в основной капитал и </w:t>
      </w:r>
      <w:r>
        <w:rPr>
          <w:rFonts w:ascii="Times New Roman" w:hAnsi="Times New Roman"/>
          <w:b/>
          <w:sz w:val="24"/>
          <w:szCs w:val="24"/>
        </w:rPr>
        <w:t>вводе в действие основных фондов (вариант 1</w:t>
      </w:r>
      <w:r w:rsidRPr="005524F6">
        <w:rPr>
          <w:rFonts w:ascii="Times New Roman" w:hAnsi="Times New Roman"/>
          <w:b/>
          <w:sz w:val="24"/>
          <w:szCs w:val="24"/>
        </w:rPr>
        <w:t>)</w:t>
      </w:r>
    </w:p>
    <w:p w:rsidR="007F3176" w:rsidRPr="00B54A6B" w:rsidRDefault="007F3176" w:rsidP="007F3176">
      <w:pPr>
        <w:widowControl w:val="0"/>
        <w:spacing w:after="0" w:line="240" w:lineRule="auto"/>
        <w:ind w:firstLine="709"/>
        <w:jc w:val="both"/>
        <w:rPr>
          <w:rFonts w:ascii="Times New Roman" w:hAnsi="Times New Roman"/>
          <w:sz w:val="24"/>
          <w:szCs w:val="24"/>
        </w:rPr>
      </w:pPr>
      <w:r w:rsidRPr="00B54A6B">
        <w:rPr>
          <w:rFonts w:ascii="Times New Roman" w:hAnsi="Times New Roman"/>
          <w:sz w:val="24"/>
          <w:szCs w:val="24"/>
        </w:rPr>
        <w:lastRenderedPageBreak/>
        <w:t>Темп прироста инвестиций в основной капитал в сопоставимых ценах в прогнозируемом периоде предполагается на уровне 77,67–6,35</w:t>
      </w:r>
      <w:r>
        <w:rPr>
          <w:rFonts w:ascii="Times New Roman" w:hAnsi="Times New Roman"/>
          <w:sz w:val="24"/>
          <w:szCs w:val="24"/>
        </w:rPr>
        <w:t xml:space="preserve"> </w:t>
      </w:r>
      <w:r w:rsidRPr="00B54A6B">
        <w:rPr>
          <w:rFonts w:ascii="Times New Roman" w:hAnsi="Times New Roman"/>
          <w:sz w:val="24"/>
          <w:szCs w:val="24"/>
        </w:rPr>
        <w:t>процента в год</w:t>
      </w:r>
      <w:r>
        <w:rPr>
          <w:rFonts w:ascii="Times New Roman" w:hAnsi="Times New Roman"/>
          <w:sz w:val="24"/>
          <w:szCs w:val="24"/>
        </w:rPr>
        <w:t>, что значительно превышает среднероссийский уровень</w:t>
      </w:r>
      <w:r w:rsidR="0072653B">
        <w:rPr>
          <w:rFonts w:ascii="Times New Roman" w:hAnsi="Times New Roman"/>
          <w:sz w:val="24"/>
          <w:szCs w:val="24"/>
        </w:rPr>
        <w:t>.</w:t>
      </w:r>
    </w:p>
    <w:p w:rsidR="007F3176" w:rsidRPr="00E410DA" w:rsidRDefault="007F3176" w:rsidP="007F3176">
      <w:pPr>
        <w:widowControl w:val="0"/>
        <w:spacing w:after="0" w:line="240" w:lineRule="auto"/>
        <w:ind w:firstLine="709"/>
        <w:jc w:val="both"/>
        <w:rPr>
          <w:rFonts w:ascii="Times New Roman" w:hAnsi="Times New Roman"/>
          <w:sz w:val="24"/>
          <w:szCs w:val="24"/>
        </w:rPr>
      </w:pPr>
      <w:r w:rsidRPr="00E410DA">
        <w:rPr>
          <w:rFonts w:ascii="Times New Roman" w:hAnsi="Times New Roman"/>
          <w:sz w:val="24"/>
          <w:szCs w:val="24"/>
        </w:rPr>
        <w:t>Согласно пояснительной записке к прогнозу снижение инвестиций в 2014 году относительно 2013 года на 49,0 процентов наблюдается в добыче полезных ископаемых, вследствие сокращения расходов на капитальные вложения по освоению Албынского и Маломырского золоторудных месторождений в связи с завершением работ по проектам.</w:t>
      </w:r>
    </w:p>
    <w:p w:rsidR="007F3176" w:rsidRPr="00E410DA" w:rsidRDefault="007F3176" w:rsidP="007F3176">
      <w:pPr>
        <w:widowControl w:val="0"/>
        <w:spacing w:after="0" w:line="240" w:lineRule="auto"/>
        <w:ind w:firstLine="709"/>
        <w:jc w:val="both"/>
        <w:rPr>
          <w:rFonts w:ascii="Times New Roman" w:hAnsi="Times New Roman"/>
          <w:sz w:val="24"/>
          <w:szCs w:val="24"/>
        </w:rPr>
      </w:pPr>
      <w:r w:rsidRPr="00E410DA">
        <w:rPr>
          <w:rFonts w:ascii="Times New Roman" w:hAnsi="Times New Roman"/>
          <w:sz w:val="24"/>
          <w:szCs w:val="24"/>
        </w:rPr>
        <w:t>Наибольший удельный вес в структуре инвестиций в 2015 году будет приходиться на транспорт и связь (53,4-42,67 процента по 1 и 2 вариантам, соответственно), обрабатывающие производства (17,9-35,5 процента). Такая структура по видам деятельности определяется предполагаемыми к реализации в прогнозируемом периоде и перечисленными выше проектами.</w:t>
      </w:r>
    </w:p>
    <w:p w:rsidR="007F3176" w:rsidRPr="00E410DA" w:rsidRDefault="007F3176" w:rsidP="007F3176">
      <w:pPr>
        <w:widowControl w:val="0"/>
        <w:spacing w:after="0" w:line="240" w:lineRule="auto"/>
        <w:ind w:firstLine="709"/>
        <w:jc w:val="both"/>
        <w:rPr>
          <w:rFonts w:ascii="Times New Roman" w:hAnsi="Times New Roman"/>
          <w:sz w:val="24"/>
          <w:szCs w:val="24"/>
        </w:rPr>
      </w:pPr>
      <w:r w:rsidRPr="00E410DA">
        <w:rPr>
          <w:rFonts w:ascii="Times New Roman" w:hAnsi="Times New Roman"/>
          <w:sz w:val="24"/>
          <w:szCs w:val="24"/>
        </w:rPr>
        <w:t>В структуре источников финансирования инвестиций прогнозируется снижение доли бюджетных средств с 39,2 процента в 2014 году до 19,6-13,2 процента (по 1 и 2 вариантам, соответственно) в 2017 году. Доля кредитов банков в инвестиционных целях прогнозируется также на низком уровне – не выше 1 процента.</w:t>
      </w:r>
    </w:p>
    <w:p w:rsidR="007F3176" w:rsidRPr="00566179" w:rsidRDefault="007F3176" w:rsidP="007F3176">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566179">
        <w:rPr>
          <w:rFonts w:ascii="Times New Roman" w:hAnsi="Times New Roman"/>
          <w:sz w:val="24"/>
          <w:szCs w:val="24"/>
        </w:rPr>
        <w:t xml:space="preserve">По прогнозу к 2017 году объем выполненных работ по виду деятельности «Строительство» составит от 40939,32 млн. рублей (первый вариант) до </w:t>
      </w:r>
      <w:r w:rsidRPr="00566179">
        <w:rPr>
          <w:rFonts w:ascii="Times New Roman" w:hAnsi="Times New Roman"/>
          <w:sz w:val="24"/>
          <w:szCs w:val="24"/>
        </w:rPr>
        <w:br/>
        <w:t>47666,7</w:t>
      </w:r>
      <w:r>
        <w:rPr>
          <w:rFonts w:ascii="Times New Roman" w:hAnsi="Times New Roman"/>
          <w:sz w:val="24"/>
          <w:szCs w:val="24"/>
        </w:rPr>
        <w:t>4 млн. рублей (второй вариант).</w:t>
      </w:r>
    </w:p>
    <w:p w:rsidR="007F3176" w:rsidRPr="00566179" w:rsidRDefault="007F3176" w:rsidP="007F3176">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566179">
        <w:rPr>
          <w:rFonts w:ascii="Times New Roman" w:hAnsi="Times New Roman"/>
          <w:sz w:val="24"/>
          <w:szCs w:val="24"/>
        </w:rPr>
        <w:t>Помимо реализации инвестиционных проектов на объем работ по виду деятельности «Стро</w:t>
      </w:r>
      <w:r>
        <w:rPr>
          <w:rFonts w:ascii="Times New Roman" w:hAnsi="Times New Roman"/>
          <w:sz w:val="24"/>
          <w:szCs w:val="24"/>
        </w:rPr>
        <w:t>ительство» влияет объем жилищного</w:t>
      </w:r>
      <w:r w:rsidRPr="00566179">
        <w:rPr>
          <w:rFonts w:ascii="Times New Roman" w:hAnsi="Times New Roman"/>
          <w:sz w:val="24"/>
          <w:szCs w:val="24"/>
        </w:rPr>
        <w:t xml:space="preserve"> строительства, рост которого прогнозируется с темпом 103,0-104,0 процента ежегодно.</w:t>
      </w:r>
    </w:p>
    <w:p w:rsidR="007F3176" w:rsidRPr="00566179" w:rsidRDefault="007F3176" w:rsidP="007F3176">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566179">
        <w:rPr>
          <w:rFonts w:ascii="Times New Roman" w:hAnsi="Times New Roman"/>
          <w:sz w:val="24"/>
          <w:szCs w:val="24"/>
        </w:rPr>
        <w:t>В 2017 году ввод в действие жилых домов на территории области составит от 500 до 670 тыс. кв. м общей площади, при этом от 27,3 процента до 29,5 процента жи</w:t>
      </w:r>
      <w:r>
        <w:rPr>
          <w:rFonts w:ascii="Times New Roman" w:hAnsi="Times New Roman"/>
          <w:sz w:val="24"/>
          <w:szCs w:val="24"/>
        </w:rPr>
        <w:t>лья будет построено населением.</w:t>
      </w:r>
    </w:p>
    <w:p w:rsidR="007F3176" w:rsidRDefault="007F3176" w:rsidP="007F3176">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566179">
        <w:rPr>
          <w:rFonts w:ascii="Times New Roman" w:hAnsi="Times New Roman"/>
          <w:sz w:val="24"/>
          <w:szCs w:val="24"/>
        </w:rPr>
        <w:t>Увеличение объема ввода жилья, согласно пояснительной записке, планируется за счет строительства малоэтажного быстровозводимого жилья эконом-класса для переселения граждан из ветхого и аварийного фонда, а также строительство жилых домов в сельских населенных пунктах с целью развития села. Кроме того, значительными объемами формируют спрос на строительство жилья государственные жилищные сертификаты д</w:t>
      </w:r>
      <w:r>
        <w:rPr>
          <w:rFonts w:ascii="Times New Roman" w:hAnsi="Times New Roman"/>
          <w:sz w:val="24"/>
          <w:szCs w:val="24"/>
        </w:rPr>
        <w:t>ля отдельных категорий граждан.</w:t>
      </w:r>
    </w:p>
    <w:p w:rsidR="007F3176" w:rsidRDefault="007F3176" w:rsidP="007F3176">
      <w:pPr>
        <w:overflowPunct w:val="0"/>
        <w:autoSpaceDE w:val="0"/>
        <w:autoSpaceDN w:val="0"/>
        <w:adjustRightInd w:val="0"/>
        <w:spacing w:after="0" w:line="240" w:lineRule="auto"/>
        <w:ind w:firstLine="720"/>
        <w:jc w:val="both"/>
        <w:textAlignment w:val="baseline"/>
        <w:rPr>
          <w:rFonts w:ascii="Times New Roman" w:hAnsi="Times New Roman"/>
          <w:i/>
          <w:sz w:val="24"/>
          <w:szCs w:val="24"/>
        </w:rPr>
      </w:pPr>
      <w:r w:rsidRPr="0076474F">
        <w:rPr>
          <w:rFonts w:ascii="Times New Roman" w:hAnsi="Times New Roman"/>
          <w:i/>
          <w:sz w:val="24"/>
          <w:szCs w:val="24"/>
        </w:rPr>
        <w:t>Согласно заключению Счетной палаты Российской Федерации на проект федерального закона «О федеральном бюджете на 2015 год и на плановый период 2016 и 2017 годов» Амурская область относится к субъектам Р</w:t>
      </w:r>
      <w:r>
        <w:rPr>
          <w:rFonts w:ascii="Times New Roman" w:hAnsi="Times New Roman"/>
          <w:i/>
          <w:sz w:val="24"/>
          <w:szCs w:val="24"/>
        </w:rPr>
        <w:t xml:space="preserve">оссийской </w:t>
      </w:r>
      <w:r w:rsidRPr="0076474F">
        <w:rPr>
          <w:rFonts w:ascii="Times New Roman" w:hAnsi="Times New Roman"/>
          <w:i/>
          <w:sz w:val="24"/>
          <w:szCs w:val="24"/>
        </w:rPr>
        <w:t>Ф</w:t>
      </w:r>
      <w:r>
        <w:rPr>
          <w:rFonts w:ascii="Times New Roman" w:hAnsi="Times New Roman"/>
          <w:i/>
          <w:sz w:val="24"/>
          <w:szCs w:val="24"/>
        </w:rPr>
        <w:t>едерации</w:t>
      </w:r>
      <w:r w:rsidRPr="0076474F">
        <w:rPr>
          <w:rFonts w:ascii="Times New Roman" w:hAnsi="Times New Roman"/>
          <w:i/>
          <w:sz w:val="24"/>
          <w:szCs w:val="24"/>
        </w:rPr>
        <w:t>, обеспеченны</w:t>
      </w:r>
      <w:r>
        <w:rPr>
          <w:rFonts w:ascii="Times New Roman" w:hAnsi="Times New Roman"/>
          <w:i/>
          <w:sz w:val="24"/>
          <w:szCs w:val="24"/>
        </w:rPr>
        <w:t>м</w:t>
      </w:r>
      <w:r w:rsidRPr="0076474F">
        <w:rPr>
          <w:rFonts w:ascii="Times New Roman" w:hAnsi="Times New Roman"/>
          <w:i/>
          <w:sz w:val="24"/>
          <w:szCs w:val="24"/>
        </w:rPr>
        <w:t xml:space="preserve"> финансовыми ресурсами на реализацию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hAnsi="Times New Roman"/>
          <w:i/>
          <w:sz w:val="24"/>
          <w:szCs w:val="24"/>
        </w:rPr>
        <w:t>,</w:t>
      </w:r>
      <w:r w:rsidRPr="0076474F">
        <w:rPr>
          <w:rFonts w:ascii="Times New Roman" w:hAnsi="Times New Roman"/>
          <w:i/>
          <w:sz w:val="24"/>
          <w:szCs w:val="24"/>
        </w:rPr>
        <w:t xml:space="preserve"> на 3-5 </w:t>
      </w:r>
      <w:r>
        <w:rPr>
          <w:rFonts w:ascii="Times New Roman" w:hAnsi="Times New Roman"/>
          <w:i/>
          <w:sz w:val="24"/>
          <w:szCs w:val="24"/>
        </w:rPr>
        <w:t>процента</w:t>
      </w:r>
      <w:r w:rsidRPr="0076474F">
        <w:rPr>
          <w:rFonts w:ascii="Times New Roman" w:hAnsi="Times New Roman"/>
          <w:i/>
          <w:sz w:val="24"/>
          <w:szCs w:val="24"/>
        </w:rPr>
        <w:t xml:space="preserve"> от потребности </w:t>
      </w:r>
      <w:r>
        <w:rPr>
          <w:rFonts w:ascii="Times New Roman" w:hAnsi="Times New Roman"/>
          <w:i/>
          <w:sz w:val="24"/>
          <w:szCs w:val="24"/>
        </w:rPr>
        <w:t>(п</w:t>
      </w:r>
      <w:r w:rsidRPr="000E01EE">
        <w:rPr>
          <w:rFonts w:ascii="Times New Roman" w:hAnsi="Times New Roman"/>
          <w:i/>
          <w:sz w:val="24"/>
          <w:szCs w:val="24"/>
        </w:rPr>
        <w:t>оказатели Указа № 600 отражены в госпрограмме «Обеспечение доступным и</w:t>
      </w:r>
      <w:r>
        <w:rPr>
          <w:rFonts w:ascii="Times New Roman" w:hAnsi="Times New Roman"/>
          <w:i/>
          <w:sz w:val="24"/>
          <w:szCs w:val="24"/>
        </w:rPr>
        <w:t xml:space="preserve"> </w:t>
      </w:r>
      <w:r w:rsidRPr="000E01EE">
        <w:rPr>
          <w:rFonts w:ascii="Times New Roman" w:hAnsi="Times New Roman"/>
          <w:i/>
          <w:sz w:val="24"/>
          <w:szCs w:val="24"/>
        </w:rPr>
        <w:t>комфортным жильем и коммунальными услугами граждан Российской Федерации</w:t>
      </w:r>
      <w:r>
        <w:rPr>
          <w:rFonts w:ascii="Times New Roman" w:hAnsi="Times New Roman"/>
          <w:i/>
          <w:sz w:val="24"/>
          <w:szCs w:val="24"/>
        </w:rPr>
        <w:t>»). Столь низкий процент обеспеченности финансовыми ресурсами влечет риск недостижения показателей прогноза по вводу жилья.</w:t>
      </w:r>
    </w:p>
    <w:p w:rsidR="007F3176" w:rsidRDefault="007F3176" w:rsidP="007F3176">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Введение</w:t>
      </w:r>
      <w:r w:rsidRPr="00795491">
        <w:rPr>
          <w:rFonts w:ascii="Times New Roman" w:hAnsi="Times New Roman"/>
          <w:sz w:val="24"/>
          <w:szCs w:val="24"/>
        </w:rPr>
        <w:t xml:space="preserve"> и действие взаимных санкций и ограничений в ряде сфер экономической</w:t>
      </w:r>
      <w:r>
        <w:rPr>
          <w:rFonts w:ascii="Times New Roman" w:hAnsi="Times New Roman"/>
          <w:sz w:val="24"/>
          <w:szCs w:val="24"/>
        </w:rPr>
        <w:t xml:space="preserve"> </w:t>
      </w:r>
      <w:r w:rsidRPr="00795491">
        <w:rPr>
          <w:rFonts w:ascii="Times New Roman" w:hAnsi="Times New Roman"/>
          <w:sz w:val="24"/>
          <w:szCs w:val="24"/>
        </w:rPr>
        <w:t xml:space="preserve">деятельности в 2014 году </w:t>
      </w:r>
      <w:r>
        <w:rPr>
          <w:rFonts w:ascii="Times New Roman" w:hAnsi="Times New Roman"/>
          <w:sz w:val="24"/>
          <w:szCs w:val="24"/>
        </w:rPr>
        <w:t xml:space="preserve">повлияли на объем и структуру внешнеэкономической деятельности, </w:t>
      </w:r>
      <w:r w:rsidRPr="00795491">
        <w:rPr>
          <w:rFonts w:ascii="Times New Roman" w:hAnsi="Times New Roman"/>
          <w:sz w:val="24"/>
          <w:szCs w:val="24"/>
        </w:rPr>
        <w:t>актуализировали проблему развития конкурентоспособных импортозамещающих производств.</w:t>
      </w:r>
    </w:p>
    <w:p w:rsidR="007F3176" w:rsidRPr="0091391B" w:rsidRDefault="007F3176" w:rsidP="007F3176">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Основным контрагентом во внешнеторговом обороте области продолжает оставаться Китай, на долю которого по итогам 2013 года пришлось 82,3 процента внешнеторгового оборота.</w:t>
      </w:r>
    </w:p>
    <w:p w:rsidR="007F3176" w:rsidRDefault="007F3176" w:rsidP="007F3176">
      <w:pPr>
        <w:widowControl w:val="0"/>
        <w:spacing w:after="0" w:line="240" w:lineRule="auto"/>
        <w:ind w:firstLine="709"/>
        <w:jc w:val="both"/>
        <w:rPr>
          <w:rFonts w:ascii="Times New Roman" w:hAnsi="Times New Roman"/>
          <w:sz w:val="24"/>
          <w:szCs w:val="24"/>
        </w:rPr>
      </w:pPr>
      <w:r w:rsidRPr="00032124">
        <w:rPr>
          <w:rFonts w:ascii="Times New Roman" w:hAnsi="Times New Roman"/>
          <w:sz w:val="24"/>
          <w:szCs w:val="24"/>
        </w:rPr>
        <w:t xml:space="preserve">Данные о динамике экспорта и импорта Амурской области приведены на рисунке </w:t>
      </w:r>
      <w:r>
        <w:rPr>
          <w:rFonts w:ascii="Times New Roman" w:hAnsi="Times New Roman"/>
          <w:sz w:val="24"/>
          <w:szCs w:val="24"/>
        </w:rPr>
        <w:t>7</w:t>
      </w:r>
      <w:r w:rsidRPr="00032124">
        <w:rPr>
          <w:rFonts w:ascii="Times New Roman" w:hAnsi="Times New Roman"/>
          <w:sz w:val="24"/>
          <w:szCs w:val="24"/>
        </w:rPr>
        <w:t>.</w:t>
      </w:r>
    </w:p>
    <w:p w:rsidR="007F3176" w:rsidRPr="00032124" w:rsidRDefault="007F3176" w:rsidP="007F3176">
      <w:pPr>
        <w:widowControl w:val="0"/>
        <w:spacing w:after="0" w:line="240" w:lineRule="auto"/>
        <w:ind w:firstLine="709"/>
        <w:jc w:val="both"/>
        <w:rPr>
          <w:rFonts w:ascii="Times New Roman" w:hAnsi="Times New Roman"/>
          <w:sz w:val="24"/>
          <w:szCs w:val="24"/>
        </w:rPr>
      </w:pPr>
    </w:p>
    <w:p w:rsidR="007F3176" w:rsidRPr="00C823E5" w:rsidRDefault="007F3176" w:rsidP="007F3176">
      <w:pPr>
        <w:widowControl w:val="0"/>
        <w:spacing w:after="0"/>
        <w:jc w:val="both"/>
        <w:rPr>
          <w:rFonts w:ascii="Times New Roman" w:hAnsi="Times New Roman"/>
          <w:color w:val="000000" w:themeColor="text1"/>
          <w:sz w:val="28"/>
          <w:szCs w:val="28"/>
        </w:rPr>
      </w:pPr>
    </w:p>
    <w:p w:rsidR="007F3176" w:rsidRDefault="007F3176" w:rsidP="007F3176">
      <w:pPr>
        <w:widowControl w:val="0"/>
        <w:spacing w:after="0"/>
        <w:jc w:val="center"/>
        <w:rPr>
          <w:rFonts w:ascii="Times New Roman" w:hAnsi="Times New Roman"/>
          <w:b/>
          <w:sz w:val="24"/>
          <w:szCs w:val="24"/>
        </w:rPr>
      </w:pPr>
      <w:r w:rsidRPr="0031794C">
        <w:rPr>
          <w:noProof/>
          <w:color w:val="FF0000"/>
          <w:sz w:val="28"/>
          <w:szCs w:val="28"/>
        </w:rPr>
        <w:lastRenderedPageBreak/>
        <w:drawing>
          <wp:inline distT="0" distB="0" distL="0" distR="0" wp14:anchorId="0E3EBB01" wp14:editId="1798CEB0">
            <wp:extent cx="6153150" cy="29813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176" w:rsidRDefault="007F3176" w:rsidP="007F3176">
      <w:pPr>
        <w:widowControl w:val="0"/>
        <w:spacing w:after="0"/>
        <w:jc w:val="center"/>
        <w:rPr>
          <w:rFonts w:ascii="Times New Roman" w:hAnsi="Times New Roman"/>
          <w:b/>
          <w:sz w:val="24"/>
          <w:szCs w:val="24"/>
        </w:rPr>
      </w:pPr>
    </w:p>
    <w:p w:rsidR="007F3176" w:rsidRDefault="007F3176" w:rsidP="007F3176">
      <w:pPr>
        <w:widowControl w:val="0"/>
        <w:spacing w:after="0"/>
        <w:jc w:val="center"/>
        <w:rPr>
          <w:rFonts w:ascii="Times New Roman" w:hAnsi="Times New Roman"/>
          <w:b/>
          <w:sz w:val="24"/>
          <w:szCs w:val="24"/>
        </w:rPr>
      </w:pPr>
      <w:r>
        <w:rPr>
          <w:rFonts w:ascii="Times New Roman" w:hAnsi="Times New Roman"/>
          <w:b/>
          <w:sz w:val="24"/>
          <w:szCs w:val="24"/>
        </w:rPr>
        <w:t>Рис.7</w:t>
      </w:r>
      <w:r w:rsidRPr="00032124">
        <w:rPr>
          <w:rFonts w:ascii="Times New Roman" w:hAnsi="Times New Roman"/>
          <w:b/>
          <w:sz w:val="24"/>
          <w:szCs w:val="24"/>
        </w:rPr>
        <w:t xml:space="preserve"> – Динамика экспорта и импорта Амурской области</w:t>
      </w:r>
    </w:p>
    <w:p w:rsidR="007F3176" w:rsidRPr="00032124" w:rsidRDefault="007F3176" w:rsidP="007F3176">
      <w:pPr>
        <w:widowControl w:val="0"/>
        <w:spacing w:after="0"/>
        <w:jc w:val="center"/>
        <w:rPr>
          <w:rFonts w:ascii="Times New Roman" w:hAnsi="Times New Roman"/>
          <w:b/>
          <w:sz w:val="24"/>
          <w:szCs w:val="24"/>
        </w:rPr>
      </w:pPr>
    </w:p>
    <w:p w:rsidR="007F3176" w:rsidRDefault="007F3176" w:rsidP="007F3176">
      <w:pPr>
        <w:widowControl w:val="0"/>
        <w:spacing w:after="0" w:line="240" w:lineRule="auto"/>
        <w:ind w:firstLine="709"/>
        <w:jc w:val="both"/>
        <w:rPr>
          <w:rFonts w:ascii="Times New Roman" w:hAnsi="Times New Roman"/>
          <w:sz w:val="24"/>
          <w:szCs w:val="24"/>
        </w:rPr>
      </w:pPr>
      <w:r w:rsidRPr="009326A6">
        <w:rPr>
          <w:rFonts w:ascii="Times New Roman" w:hAnsi="Times New Roman"/>
          <w:sz w:val="24"/>
          <w:szCs w:val="24"/>
        </w:rPr>
        <w:t xml:space="preserve">Как видно из рисунка </w:t>
      </w:r>
      <w:r>
        <w:rPr>
          <w:rFonts w:ascii="Times New Roman" w:hAnsi="Times New Roman"/>
          <w:sz w:val="24"/>
          <w:szCs w:val="24"/>
        </w:rPr>
        <w:t>7</w:t>
      </w:r>
      <w:r w:rsidRPr="009326A6">
        <w:rPr>
          <w:rFonts w:ascii="Times New Roman" w:hAnsi="Times New Roman"/>
          <w:sz w:val="24"/>
          <w:szCs w:val="24"/>
        </w:rPr>
        <w:t xml:space="preserve"> </w:t>
      </w:r>
      <w:r>
        <w:rPr>
          <w:rFonts w:ascii="Times New Roman" w:hAnsi="Times New Roman"/>
          <w:sz w:val="24"/>
          <w:szCs w:val="24"/>
        </w:rPr>
        <w:t>в период 2015-2017 годов ожидается превышение экспорта над импортом, начиная с 2016 года: на 1,01-1,0 млн. долл. США (по 1 и 2 вариантам прогноза, соответственно). В 2017 году – на 18,8-7,6 млн. долл. США.</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Согласно пояснительной записке, основными факторами, повлиявшими на снижение импорта, являются:</w:t>
      </w:r>
    </w:p>
    <w:p w:rsidR="007F3176" w:rsidRPr="0091391B" w:rsidRDefault="007F3176" w:rsidP="007F3176">
      <w:pPr>
        <w:pStyle w:val="ad"/>
        <w:widowControl w:val="0"/>
        <w:numPr>
          <w:ilvl w:val="0"/>
          <w:numId w:val="5"/>
        </w:numPr>
        <w:tabs>
          <w:tab w:val="left" w:pos="993"/>
        </w:tabs>
        <w:spacing w:after="0" w:line="240" w:lineRule="auto"/>
        <w:ind w:left="0" w:firstLine="709"/>
        <w:jc w:val="both"/>
        <w:rPr>
          <w:rFonts w:ascii="Times New Roman" w:hAnsi="Times New Roman"/>
          <w:sz w:val="24"/>
          <w:szCs w:val="24"/>
        </w:rPr>
      </w:pPr>
      <w:r w:rsidRPr="0091391B">
        <w:rPr>
          <w:rFonts w:ascii="Times New Roman" w:hAnsi="Times New Roman"/>
          <w:sz w:val="24"/>
          <w:szCs w:val="24"/>
        </w:rPr>
        <w:t>ужесточение требований к ввозимой технике, в связи с вступлением России в ВТО;</w:t>
      </w:r>
    </w:p>
    <w:p w:rsidR="007F3176" w:rsidRDefault="007F3176" w:rsidP="007F3176">
      <w:pPr>
        <w:pStyle w:val="ad"/>
        <w:widowControl w:val="0"/>
        <w:numPr>
          <w:ilvl w:val="0"/>
          <w:numId w:val="5"/>
        </w:numPr>
        <w:tabs>
          <w:tab w:val="left" w:pos="993"/>
        </w:tabs>
        <w:spacing w:after="0" w:line="240" w:lineRule="auto"/>
        <w:ind w:left="0" w:firstLine="709"/>
        <w:jc w:val="both"/>
        <w:rPr>
          <w:rFonts w:ascii="Times New Roman" w:hAnsi="Times New Roman"/>
          <w:sz w:val="24"/>
          <w:szCs w:val="24"/>
        </w:rPr>
      </w:pPr>
      <w:r w:rsidRPr="0091391B">
        <w:rPr>
          <w:rFonts w:ascii="Times New Roman" w:hAnsi="Times New Roman"/>
          <w:sz w:val="24"/>
          <w:szCs w:val="24"/>
        </w:rPr>
        <w:t xml:space="preserve">переориентация </w:t>
      </w:r>
      <w:r>
        <w:rPr>
          <w:rFonts w:ascii="Times New Roman" w:hAnsi="Times New Roman"/>
          <w:sz w:val="24"/>
          <w:szCs w:val="24"/>
        </w:rPr>
        <w:t xml:space="preserve">китайских </w:t>
      </w:r>
      <w:r w:rsidRPr="0091391B">
        <w:rPr>
          <w:rFonts w:ascii="Times New Roman" w:hAnsi="Times New Roman"/>
          <w:sz w:val="24"/>
          <w:szCs w:val="24"/>
        </w:rPr>
        <w:t>поставщиков товаров и продукции на экспортные поставки в Россию через Казахстан.</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целом внешнеторговый оборот области согласно прогнозу будет расти и составит по 1 и 2 вариантам, соответственно: в 2015 году 896,4-907,8 млн. долл. США, в 2016 году – 946,9-968,3 млн. долл. США, в 2017 году – 988,4-946,9 млн. долл. США.</w:t>
      </w:r>
    </w:p>
    <w:p w:rsidR="007F3176" w:rsidRPr="00C85D62" w:rsidRDefault="007F3176" w:rsidP="007F3176">
      <w:pPr>
        <w:widowControl w:val="0"/>
        <w:spacing w:after="0" w:line="240" w:lineRule="auto"/>
        <w:ind w:firstLine="709"/>
        <w:jc w:val="both"/>
        <w:rPr>
          <w:rFonts w:ascii="Times New Roman" w:hAnsi="Times New Roman"/>
          <w:sz w:val="24"/>
          <w:szCs w:val="24"/>
        </w:rPr>
      </w:pPr>
      <w:r w:rsidRPr="00C85D62">
        <w:rPr>
          <w:rFonts w:ascii="Times New Roman" w:hAnsi="Times New Roman"/>
          <w:sz w:val="24"/>
          <w:szCs w:val="24"/>
        </w:rPr>
        <w:t>В</w:t>
      </w:r>
      <w:r>
        <w:rPr>
          <w:rFonts w:ascii="Times New Roman" w:hAnsi="Times New Roman"/>
          <w:sz w:val="24"/>
          <w:szCs w:val="24"/>
        </w:rPr>
        <w:t xml:space="preserve"> </w:t>
      </w:r>
      <w:r w:rsidRPr="00C85D62">
        <w:rPr>
          <w:rFonts w:ascii="Times New Roman" w:hAnsi="Times New Roman"/>
          <w:sz w:val="24"/>
          <w:szCs w:val="24"/>
        </w:rPr>
        <w:t xml:space="preserve">2017 году </w:t>
      </w:r>
      <w:r>
        <w:rPr>
          <w:rFonts w:ascii="Times New Roman" w:hAnsi="Times New Roman"/>
          <w:sz w:val="24"/>
          <w:szCs w:val="24"/>
        </w:rPr>
        <w:t>п</w:t>
      </w:r>
      <w:r w:rsidRPr="00C85D62">
        <w:rPr>
          <w:rFonts w:ascii="Times New Roman" w:hAnsi="Times New Roman"/>
          <w:sz w:val="24"/>
          <w:szCs w:val="24"/>
        </w:rPr>
        <w:t xml:space="preserve">рогнозируется </w:t>
      </w:r>
      <w:r>
        <w:rPr>
          <w:rFonts w:ascii="Times New Roman" w:hAnsi="Times New Roman"/>
          <w:sz w:val="24"/>
          <w:szCs w:val="24"/>
        </w:rPr>
        <w:t xml:space="preserve">также </w:t>
      </w:r>
      <w:r w:rsidRPr="00C85D62">
        <w:rPr>
          <w:rFonts w:ascii="Times New Roman" w:hAnsi="Times New Roman"/>
          <w:sz w:val="24"/>
          <w:szCs w:val="24"/>
        </w:rPr>
        <w:t xml:space="preserve">увеличение количества иностранных посетителей </w:t>
      </w:r>
      <w:r>
        <w:rPr>
          <w:rFonts w:ascii="Times New Roman" w:hAnsi="Times New Roman"/>
          <w:sz w:val="24"/>
          <w:szCs w:val="24"/>
        </w:rPr>
        <w:t>на 6,2-16,6 процента</w:t>
      </w:r>
      <w:r w:rsidRPr="00C85D62">
        <w:rPr>
          <w:rFonts w:ascii="Times New Roman" w:hAnsi="Times New Roman"/>
          <w:sz w:val="24"/>
          <w:szCs w:val="24"/>
        </w:rPr>
        <w:t xml:space="preserve"> </w:t>
      </w:r>
      <w:r>
        <w:rPr>
          <w:rFonts w:ascii="Times New Roman" w:hAnsi="Times New Roman"/>
          <w:sz w:val="24"/>
          <w:szCs w:val="24"/>
        </w:rPr>
        <w:t>(1 и 2 вариант, соответственно)</w:t>
      </w:r>
      <w:r w:rsidRPr="00C85D62">
        <w:rPr>
          <w:rFonts w:ascii="Times New Roman" w:hAnsi="Times New Roman"/>
          <w:sz w:val="24"/>
          <w:szCs w:val="24"/>
        </w:rPr>
        <w:t xml:space="preserve"> относительно оценки 201</w:t>
      </w:r>
      <w:r>
        <w:rPr>
          <w:rFonts w:ascii="Times New Roman" w:hAnsi="Times New Roman"/>
          <w:sz w:val="24"/>
          <w:szCs w:val="24"/>
        </w:rPr>
        <w:t>4</w:t>
      </w:r>
      <w:r w:rsidRPr="00C85D62">
        <w:rPr>
          <w:rFonts w:ascii="Times New Roman" w:hAnsi="Times New Roman"/>
          <w:sz w:val="24"/>
          <w:szCs w:val="24"/>
        </w:rPr>
        <w:t xml:space="preserve"> года. При этом прирост количества выезжавших в поездки жителей региона в 2017 году относительно оценки 201</w:t>
      </w:r>
      <w:r>
        <w:rPr>
          <w:rFonts w:ascii="Times New Roman" w:hAnsi="Times New Roman"/>
          <w:sz w:val="24"/>
          <w:szCs w:val="24"/>
        </w:rPr>
        <w:t>4</w:t>
      </w:r>
      <w:r w:rsidRPr="00C85D62">
        <w:rPr>
          <w:rFonts w:ascii="Times New Roman" w:hAnsi="Times New Roman"/>
          <w:sz w:val="24"/>
          <w:szCs w:val="24"/>
        </w:rPr>
        <w:t xml:space="preserve"> года должен составить </w:t>
      </w:r>
      <w:r>
        <w:rPr>
          <w:rFonts w:ascii="Times New Roman" w:hAnsi="Times New Roman"/>
          <w:sz w:val="24"/>
          <w:szCs w:val="24"/>
        </w:rPr>
        <w:t>1,1-16,6</w:t>
      </w:r>
      <w:r w:rsidRPr="00C85D62">
        <w:rPr>
          <w:rFonts w:ascii="Times New Roman" w:hAnsi="Times New Roman"/>
          <w:sz w:val="24"/>
          <w:szCs w:val="24"/>
        </w:rPr>
        <w:t xml:space="preserve"> процента.</w:t>
      </w:r>
    </w:p>
    <w:p w:rsidR="007F3176" w:rsidRDefault="007F3176" w:rsidP="007F3176">
      <w:pPr>
        <w:widowControl w:val="0"/>
        <w:spacing w:after="0" w:line="240" w:lineRule="auto"/>
        <w:ind w:firstLine="680"/>
        <w:jc w:val="both"/>
        <w:rPr>
          <w:rFonts w:ascii="Times New Roman" w:hAnsi="Times New Roman"/>
          <w:bCs/>
          <w:sz w:val="24"/>
          <w:szCs w:val="24"/>
        </w:rPr>
      </w:pPr>
    </w:p>
    <w:p w:rsidR="007F3176" w:rsidRPr="00384445" w:rsidRDefault="007F3176" w:rsidP="007F3176">
      <w:pPr>
        <w:widowControl w:val="0"/>
        <w:spacing w:after="0" w:line="240" w:lineRule="auto"/>
        <w:ind w:firstLine="680"/>
        <w:jc w:val="both"/>
        <w:rPr>
          <w:rFonts w:ascii="Times New Roman" w:hAnsi="Times New Roman"/>
          <w:bCs/>
          <w:sz w:val="24"/>
          <w:szCs w:val="24"/>
        </w:rPr>
      </w:pPr>
      <w:r w:rsidRPr="00384445">
        <w:rPr>
          <w:rFonts w:ascii="Times New Roman" w:hAnsi="Times New Roman"/>
          <w:bCs/>
          <w:sz w:val="24"/>
          <w:szCs w:val="24"/>
        </w:rPr>
        <w:t xml:space="preserve">Постановлением Правительства Амурской области от 13.07.2012 № 380 </w:t>
      </w:r>
      <w:r>
        <w:rPr>
          <w:rFonts w:ascii="Times New Roman" w:hAnsi="Times New Roman"/>
          <w:bCs/>
          <w:sz w:val="24"/>
          <w:szCs w:val="24"/>
        </w:rPr>
        <w:t xml:space="preserve">(с изменениями от 09.10.2014) </w:t>
      </w:r>
      <w:r w:rsidRPr="00384445">
        <w:rPr>
          <w:rFonts w:ascii="Times New Roman" w:hAnsi="Times New Roman"/>
          <w:bCs/>
          <w:sz w:val="24"/>
          <w:szCs w:val="24"/>
        </w:rPr>
        <w:t>утверждена Стратегия социально-экономического развития Амурской области на период до 2025 года.</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Денежные доходы в среднем на душу населения в месяц, представленные в прогнозе, выше установленного Стратегией значения на 2015 год на 353,46-1308,65 рублей.</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численности населения с доходами ниже прожиточного минимума менее установленного в Стратегии на 2015 год уровня на 4,0-4,3 процента.</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этом объем ВРП на 2015 год прогнозируется ниже установленного Стратегией уровня на 18,9-14,7 млн. рублей. Объем инвестиций в основной капитал приближается к заданному Стратегией на 2015 год уровню в 185,0 млрд. рублей только по 2 варианту прогноза. В первом варианте объем инвестиций в основной капитал ниже установленного уровня на 66,4 млн. рублей.</w:t>
      </w:r>
    </w:p>
    <w:p w:rsidR="007F3176" w:rsidRDefault="007F3176" w:rsidP="007F317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целом </w:t>
      </w:r>
      <w:r w:rsidRPr="006E018E">
        <w:rPr>
          <w:rFonts w:ascii="Times New Roman" w:hAnsi="Times New Roman"/>
          <w:b/>
          <w:i/>
          <w:sz w:val="24"/>
          <w:szCs w:val="24"/>
        </w:rPr>
        <w:t xml:space="preserve">показатели прогноза социально-экономического развития Амурской области на 2015 год и на период до 2017 года соответствуют целевым значениям на 2015 год, установленным Стратегией </w:t>
      </w:r>
      <w:r w:rsidRPr="006E018E">
        <w:rPr>
          <w:rFonts w:ascii="Times New Roman" w:hAnsi="Times New Roman"/>
          <w:b/>
          <w:bCs/>
          <w:i/>
          <w:sz w:val="24"/>
          <w:szCs w:val="24"/>
        </w:rPr>
        <w:t>социально-экономического развития Амурской области на период до 2025 года</w:t>
      </w:r>
      <w:r w:rsidRPr="006E018E">
        <w:rPr>
          <w:rFonts w:ascii="Times New Roman" w:hAnsi="Times New Roman"/>
          <w:b/>
          <w:i/>
          <w:sz w:val="24"/>
          <w:szCs w:val="24"/>
        </w:rPr>
        <w:t>.</w:t>
      </w:r>
    </w:p>
    <w:p w:rsidR="00000921" w:rsidRPr="004C2E5E" w:rsidRDefault="00000921" w:rsidP="00DA5F4F">
      <w:pPr>
        <w:pStyle w:val="ad"/>
        <w:numPr>
          <w:ilvl w:val="0"/>
          <w:numId w:val="14"/>
        </w:numPr>
        <w:spacing w:after="0" w:line="240" w:lineRule="auto"/>
        <w:jc w:val="center"/>
        <w:rPr>
          <w:rStyle w:val="ac"/>
          <w:rFonts w:ascii="Times New Roman" w:hAnsi="Times New Roman"/>
          <w:color w:val="auto"/>
          <w:sz w:val="24"/>
          <w:szCs w:val="24"/>
        </w:rPr>
      </w:pPr>
      <w:r w:rsidRPr="004C2E5E">
        <w:rPr>
          <w:rStyle w:val="ac"/>
          <w:rFonts w:ascii="Times New Roman" w:hAnsi="Times New Roman"/>
          <w:color w:val="auto"/>
          <w:sz w:val="24"/>
          <w:szCs w:val="24"/>
        </w:rPr>
        <w:lastRenderedPageBreak/>
        <w:t>Формирование доходной части областного бюджета на 2015 год и плановый период 2016 и 2017 годов</w:t>
      </w:r>
    </w:p>
    <w:p w:rsidR="00000921" w:rsidRPr="004102A4" w:rsidRDefault="00000921" w:rsidP="00000921">
      <w:pPr>
        <w:spacing w:after="0" w:line="240" w:lineRule="auto"/>
        <w:ind w:firstLine="680"/>
        <w:jc w:val="center"/>
        <w:rPr>
          <w:rStyle w:val="ac"/>
          <w:rFonts w:ascii="Times New Roman" w:hAnsi="Times New Roman"/>
          <w:color w:val="000000" w:themeColor="text1"/>
          <w:sz w:val="28"/>
          <w:szCs w:val="28"/>
        </w:rPr>
      </w:pPr>
    </w:p>
    <w:p w:rsidR="00000921" w:rsidRPr="00545B68" w:rsidRDefault="00000921" w:rsidP="00000921">
      <w:pPr>
        <w:spacing w:after="0" w:line="264" w:lineRule="auto"/>
        <w:ind w:firstLine="709"/>
        <w:jc w:val="both"/>
        <w:rPr>
          <w:rFonts w:ascii="Times New Roman" w:hAnsi="Times New Roman"/>
          <w:sz w:val="24"/>
          <w:szCs w:val="24"/>
        </w:rPr>
      </w:pPr>
      <w:r w:rsidRPr="00545B68">
        <w:rPr>
          <w:rFonts w:ascii="Times New Roman" w:hAnsi="Times New Roman"/>
          <w:sz w:val="24"/>
          <w:szCs w:val="24"/>
        </w:rPr>
        <w:t>Доходы областного бюджета прогнозируются на 201</w:t>
      </w:r>
      <w:r>
        <w:rPr>
          <w:rFonts w:ascii="Times New Roman" w:hAnsi="Times New Roman"/>
          <w:sz w:val="24"/>
          <w:szCs w:val="24"/>
        </w:rPr>
        <w:t>5</w:t>
      </w:r>
      <w:r w:rsidRPr="00545B68">
        <w:rPr>
          <w:rFonts w:ascii="Times New Roman" w:hAnsi="Times New Roman"/>
          <w:sz w:val="24"/>
          <w:szCs w:val="24"/>
        </w:rPr>
        <w:t xml:space="preserve"> год в сумме </w:t>
      </w:r>
      <w:r>
        <w:rPr>
          <w:rFonts w:ascii="Times New Roman" w:hAnsi="Times New Roman"/>
          <w:sz w:val="24"/>
          <w:szCs w:val="24"/>
        </w:rPr>
        <w:t>33885295,5</w:t>
      </w:r>
      <w:r w:rsidRPr="00545B68">
        <w:rPr>
          <w:rFonts w:ascii="Times New Roman" w:hAnsi="Times New Roman"/>
          <w:sz w:val="24"/>
          <w:szCs w:val="24"/>
        </w:rPr>
        <w:t xml:space="preserve"> тыс. рублей, на 201</w:t>
      </w:r>
      <w:r>
        <w:rPr>
          <w:rFonts w:ascii="Times New Roman" w:hAnsi="Times New Roman"/>
          <w:sz w:val="24"/>
          <w:szCs w:val="24"/>
        </w:rPr>
        <w:t>6</w:t>
      </w:r>
      <w:r w:rsidRPr="00545B68">
        <w:rPr>
          <w:rFonts w:ascii="Times New Roman" w:hAnsi="Times New Roman"/>
          <w:sz w:val="24"/>
          <w:szCs w:val="24"/>
        </w:rPr>
        <w:t xml:space="preserve"> год </w:t>
      </w:r>
      <w:r>
        <w:rPr>
          <w:rFonts w:ascii="Times New Roman" w:hAnsi="Times New Roman"/>
          <w:sz w:val="24"/>
          <w:szCs w:val="24"/>
        </w:rPr>
        <w:t>–</w:t>
      </w:r>
      <w:r w:rsidRPr="00545B68">
        <w:rPr>
          <w:rFonts w:ascii="Times New Roman" w:hAnsi="Times New Roman"/>
          <w:sz w:val="24"/>
          <w:szCs w:val="24"/>
        </w:rPr>
        <w:t xml:space="preserve"> </w:t>
      </w:r>
      <w:r>
        <w:rPr>
          <w:rFonts w:ascii="Times New Roman" w:hAnsi="Times New Roman"/>
          <w:sz w:val="24"/>
          <w:szCs w:val="24"/>
        </w:rPr>
        <w:t>34397916,3</w:t>
      </w:r>
      <w:r w:rsidRPr="00545B68">
        <w:rPr>
          <w:rFonts w:ascii="Times New Roman" w:hAnsi="Times New Roman"/>
          <w:sz w:val="24"/>
          <w:szCs w:val="24"/>
        </w:rPr>
        <w:t xml:space="preserve"> тыс. рублей, на 201</w:t>
      </w:r>
      <w:r>
        <w:rPr>
          <w:rFonts w:ascii="Times New Roman" w:hAnsi="Times New Roman"/>
          <w:sz w:val="24"/>
          <w:szCs w:val="24"/>
        </w:rPr>
        <w:t>7 год – 36457812,4  тыс. рублей.</w:t>
      </w:r>
    </w:p>
    <w:p w:rsidR="00000921" w:rsidRDefault="00000921" w:rsidP="00000921">
      <w:pPr>
        <w:spacing w:after="0" w:line="264" w:lineRule="auto"/>
        <w:ind w:firstLine="709"/>
        <w:jc w:val="both"/>
        <w:rPr>
          <w:rFonts w:ascii="Times New Roman" w:hAnsi="Times New Roman"/>
          <w:sz w:val="24"/>
          <w:szCs w:val="24"/>
        </w:rPr>
      </w:pPr>
      <w:r w:rsidRPr="00545B68">
        <w:rPr>
          <w:rFonts w:ascii="Times New Roman" w:hAnsi="Times New Roman"/>
          <w:sz w:val="24"/>
          <w:szCs w:val="24"/>
        </w:rPr>
        <w:t>Объем поступлений доходов областного бюджета на 201</w:t>
      </w:r>
      <w:r>
        <w:rPr>
          <w:rFonts w:ascii="Times New Roman" w:hAnsi="Times New Roman"/>
          <w:sz w:val="24"/>
          <w:szCs w:val="24"/>
        </w:rPr>
        <w:t>5</w:t>
      </w:r>
      <w:r w:rsidRPr="00545B68">
        <w:rPr>
          <w:rFonts w:ascii="Times New Roman" w:hAnsi="Times New Roman"/>
          <w:sz w:val="24"/>
          <w:szCs w:val="24"/>
        </w:rPr>
        <w:t xml:space="preserve"> год спрогнозирован ниже </w:t>
      </w:r>
      <w:r>
        <w:rPr>
          <w:rFonts w:ascii="Times New Roman" w:hAnsi="Times New Roman"/>
          <w:sz w:val="24"/>
          <w:szCs w:val="24"/>
        </w:rPr>
        <w:t xml:space="preserve">уточненных плановых назначений 2014 года на 17,2 процента, </w:t>
      </w:r>
      <w:r w:rsidRPr="00545B68">
        <w:rPr>
          <w:rFonts w:ascii="Times New Roman" w:hAnsi="Times New Roman"/>
          <w:sz w:val="24"/>
          <w:szCs w:val="24"/>
        </w:rPr>
        <w:t>ожидаемого поступления доходов в 201</w:t>
      </w:r>
      <w:r>
        <w:rPr>
          <w:rFonts w:ascii="Times New Roman" w:hAnsi="Times New Roman"/>
          <w:sz w:val="24"/>
          <w:szCs w:val="24"/>
        </w:rPr>
        <w:t>4</w:t>
      </w:r>
      <w:r w:rsidRPr="00545B68">
        <w:rPr>
          <w:rFonts w:ascii="Times New Roman" w:hAnsi="Times New Roman"/>
          <w:sz w:val="24"/>
          <w:szCs w:val="24"/>
        </w:rPr>
        <w:t xml:space="preserve"> году </w:t>
      </w:r>
      <w:r>
        <w:rPr>
          <w:rFonts w:ascii="Times New Roman" w:hAnsi="Times New Roman"/>
          <w:sz w:val="24"/>
          <w:szCs w:val="24"/>
        </w:rPr>
        <w:t xml:space="preserve">- </w:t>
      </w:r>
      <w:r w:rsidRPr="00545B68">
        <w:rPr>
          <w:rFonts w:ascii="Times New Roman" w:hAnsi="Times New Roman"/>
          <w:sz w:val="24"/>
          <w:szCs w:val="24"/>
        </w:rPr>
        <w:t xml:space="preserve">на </w:t>
      </w:r>
      <w:r>
        <w:rPr>
          <w:rFonts w:ascii="Times New Roman" w:hAnsi="Times New Roman"/>
          <w:sz w:val="24"/>
          <w:szCs w:val="24"/>
        </w:rPr>
        <w:t xml:space="preserve">26,9 процента, поскольку </w:t>
      </w:r>
      <w:r w:rsidRPr="00545B68">
        <w:rPr>
          <w:rFonts w:ascii="Times New Roman" w:hAnsi="Times New Roman"/>
          <w:sz w:val="24"/>
          <w:szCs w:val="24"/>
        </w:rPr>
        <w:t>проектом бюджета</w:t>
      </w:r>
      <w:r>
        <w:rPr>
          <w:rFonts w:ascii="Times New Roman" w:hAnsi="Times New Roman"/>
          <w:sz w:val="24"/>
          <w:szCs w:val="24"/>
        </w:rPr>
        <w:t xml:space="preserve"> на 2015 год </w:t>
      </w:r>
      <w:r w:rsidRPr="00545B68">
        <w:rPr>
          <w:rFonts w:ascii="Times New Roman" w:hAnsi="Times New Roman"/>
          <w:sz w:val="24"/>
          <w:szCs w:val="24"/>
        </w:rPr>
        <w:t xml:space="preserve"> предусмотрены средства федерального бюджета</w:t>
      </w:r>
      <w:r>
        <w:rPr>
          <w:rFonts w:ascii="Times New Roman" w:hAnsi="Times New Roman"/>
          <w:sz w:val="24"/>
          <w:szCs w:val="24"/>
        </w:rPr>
        <w:t xml:space="preserve"> в объеме 2977494,4 тыс. рублей – дотации бюджетам субъектов Российской Федерации и муниципальных образований (уточненные плановые назначения на 2014 год по состоянию на 01.10.2014 по безвозмездным поступлениям составляют 11368324,8 тыс. рублей).</w:t>
      </w:r>
    </w:p>
    <w:p w:rsidR="00000921" w:rsidRPr="00A244C8" w:rsidRDefault="00000921" w:rsidP="00000921">
      <w:pPr>
        <w:spacing w:after="0" w:line="264" w:lineRule="auto"/>
        <w:ind w:firstLine="709"/>
        <w:jc w:val="both"/>
        <w:rPr>
          <w:rFonts w:ascii="Times New Roman" w:hAnsi="Times New Roman"/>
          <w:sz w:val="24"/>
          <w:szCs w:val="24"/>
        </w:rPr>
      </w:pPr>
      <w:r w:rsidRPr="00A244C8">
        <w:rPr>
          <w:rFonts w:ascii="Times New Roman" w:hAnsi="Times New Roman"/>
          <w:sz w:val="24"/>
          <w:szCs w:val="24"/>
        </w:rPr>
        <w:t xml:space="preserve">Контрольно-счетная палата области отмечает, что в соответствии с проектом Федерального закона «О федеральном бюджете на 2015 год и плановый период 2016 и </w:t>
      </w:r>
      <w:r w:rsidR="00A244C8">
        <w:rPr>
          <w:rFonts w:ascii="Times New Roman" w:hAnsi="Times New Roman"/>
          <w:sz w:val="24"/>
          <w:szCs w:val="24"/>
        </w:rPr>
        <w:br/>
      </w:r>
      <w:r w:rsidRPr="00A244C8">
        <w:rPr>
          <w:rFonts w:ascii="Times New Roman" w:hAnsi="Times New Roman"/>
          <w:sz w:val="24"/>
          <w:szCs w:val="24"/>
        </w:rPr>
        <w:t>2017 годов» областному бюджету, кроме дотаций, предусмотрены иные межбюджетные трансферты, субсидии, субвенции, которые не нашли отражения в проекте закона Амурской области «Об областном бюджете на 2015 год и плановый период 2016 и 2017 годов», представленном к первому чтению.</w:t>
      </w:r>
    </w:p>
    <w:p w:rsidR="00000921" w:rsidRDefault="00000921" w:rsidP="00000921">
      <w:pPr>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Прогнозом на</w:t>
      </w:r>
      <w:r w:rsidRPr="00545B68">
        <w:rPr>
          <w:rFonts w:ascii="Times New Roman" w:hAnsi="Times New Roman"/>
          <w:sz w:val="24"/>
          <w:szCs w:val="24"/>
        </w:rPr>
        <w:t xml:space="preserve"> 201</w:t>
      </w:r>
      <w:r>
        <w:rPr>
          <w:rFonts w:ascii="Times New Roman" w:hAnsi="Times New Roman"/>
          <w:sz w:val="24"/>
          <w:szCs w:val="24"/>
        </w:rPr>
        <w:t>6</w:t>
      </w:r>
      <w:r w:rsidRPr="00545B68">
        <w:rPr>
          <w:rFonts w:ascii="Times New Roman" w:hAnsi="Times New Roman"/>
          <w:sz w:val="24"/>
          <w:szCs w:val="24"/>
        </w:rPr>
        <w:t>–</w:t>
      </w:r>
      <w:r>
        <w:rPr>
          <w:rFonts w:ascii="Times New Roman" w:hAnsi="Times New Roman"/>
          <w:sz w:val="24"/>
          <w:szCs w:val="24"/>
        </w:rPr>
        <w:t>2</w:t>
      </w:r>
      <w:r w:rsidRPr="00545B68">
        <w:rPr>
          <w:rFonts w:ascii="Times New Roman" w:hAnsi="Times New Roman"/>
          <w:sz w:val="24"/>
          <w:szCs w:val="24"/>
        </w:rPr>
        <w:t>01</w:t>
      </w:r>
      <w:r>
        <w:rPr>
          <w:rFonts w:ascii="Times New Roman" w:hAnsi="Times New Roman"/>
          <w:sz w:val="24"/>
          <w:szCs w:val="24"/>
        </w:rPr>
        <w:t>7</w:t>
      </w:r>
      <w:r w:rsidRPr="00545B68">
        <w:rPr>
          <w:rFonts w:ascii="Times New Roman" w:hAnsi="Times New Roman"/>
          <w:sz w:val="24"/>
          <w:szCs w:val="24"/>
        </w:rPr>
        <w:t xml:space="preserve"> год</w:t>
      </w:r>
      <w:r>
        <w:rPr>
          <w:rFonts w:ascii="Times New Roman" w:hAnsi="Times New Roman"/>
          <w:sz w:val="24"/>
          <w:szCs w:val="24"/>
        </w:rPr>
        <w:t>ы</w:t>
      </w:r>
      <w:r w:rsidRPr="00545B68">
        <w:rPr>
          <w:rFonts w:ascii="Times New Roman" w:hAnsi="Times New Roman"/>
          <w:sz w:val="24"/>
          <w:szCs w:val="24"/>
        </w:rPr>
        <w:t xml:space="preserve"> также </w:t>
      </w:r>
      <w:r>
        <w:rPr>
          <w:rFonts w:ascii="Times New Roman" w:hAnsi="Times New Roman"/>
          <w:sz w:val="24"/>
          <w:szCs w:val="24"/>
        </w:rPr>
        <w:t>предусматривается</w:t>
      </w:r>
      <w:r w:rsidRPr="00545B68">
        <w:rPr>
          <w:rFonts w:ascii="Times New Roman" w:hAnsi="Times New Roman"/>
          <w:sz w:val="24"/>
          <w:szCs w:val="24"/>
        </w:rPr>
        <w:t xml:space="preserve"> снижение объема</w:t>
      </w:r>
      <w:r>
        <w:rPr>
          <w:rFonts w:ascii="Times New Roman" w:hAnsi="Times New Roman"/>
          <w:sz w:val="24"/>
          <w:szCs w:val="24"/>
        </w:rPr>
        <w:t xml:space="preserve"> доходов областного бюджета по сравнению с ожидаемым поступлением доходов в 2014 году - </w:t>
      </w:r>
      <w:r>
        <w:rPr>
          <w:rFonts w:ascii="Times New Roman" w:hAnsi="Times New Roman"/>
          <w:sz w:val="24"/>
          <w:szCs w:val="24"/>
        </w:rPr>
        <w:br/>
        <w:t>на 25,7 процента, в 2016 году, в 2017 году – на 21,3 процента.</w:t>
      </w:r>
    </w:p>
    <w:p w:rsidR="00000921" w:rsidRDefault="00000921" w:rsidP="00000921">
      <w:pPr>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Объем поступлений доходов областного бюджета на 2016 год по сравнению с прогнозируемыми поступлениями на 2015 год увеличивается незначительн</w:t>
      </w:r>
      <w:r w:rsidR="00707C0E">
        <w:rPr>
          <w:rFonts w:ascii="Times New Roman" w:hAnsi="Times New Roman"/>
          <w:sz w:val="24"/>
          <w:szCs w:val="24"/>
        </w:rPr>
        <w:t xml:space="preserve">о на 512620,8 тыс. рублей, или </w:t>
      </w:r>
      <w:r>
        <w:rPr>
          <w:rFonts w:ascii="Times New Roman" w:hAnsi="Times New Roman"/>
          <w:sz w:val="24"/>
          <w:szCs w:val="24"/>
        </w:rPr>
        <w:t xml:space="preserve">1,5 процента, на 2017 год – на 2572516,9 тыс. рублей, или 7,6 процента, при этом объем безвозмездных поступлений в областной бюджет в 2016 году по сравнению </w:t>
      </w:r>
      <w:r w:rsidR="00707C0E">
        <w:rPr>
          <w:rFonts w:ascii="Times New Roman" w:hAnsi="Times New Roman"/>
          <w:sz w:val="24"/>
          <w:szCs w:val="24"/>
        </w:rPr>
        <w:br/>
      </w:r>
      <w:r>
        <w:rPr>
          <w:rFonts w:ascii="Times New Roman" w:hAnsi="Times New Roman"/>
          <w:sz w:val="24"/>
          <w:szCs w:val="24"/>
        </w:rPr>
        <w:t>с 2015 годом снижается на 1424565,4 тыс. рублей, в 2017 году – на 1779809,6 тыс. рублей.</w:t>
      </w:r>
    </w:p>
    <w:p w:rsidR="00000921" w:rsidRPr="00707C0E" w:rsidRDefault="00000921" w:rsidP="00000921">
      <w:pPr>
        <w:autoSpaceDE w:val="0"/>
        <w:autoSpaceDN w:val="0"/>
        <w:adjustRightInd w:val="0"/>
        <w:spacing w:after="0" w:line="264"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Контрольно-счетная палата Амурской области отмечает, что прогнозируемый общий объем доходов областного бюджета на 2016 год, отраженный в статье 1 проекта закона Амурской области «Об областном бюджете на 2015 год и плановый период 2016 </w:t>
      </w:r>
      <w:r w:rsidR="00707C0E">
        <w:rPr>
          <w:rFonts w:ascii="Times New Roman" w:hAnsi="Times New Roman"/>
          <w:sz w:val="24"/>
          <w:szCs w:val="24"/>
        </w:rPr>
        <w:br/>
      </w:r>
      <w:r>
        <w:rPr>
          <w:rFonts w:ascii="Times New Roman" w:hAnsi="Times New Roman"/>
          <w:sz w:val="24"/>
          <w:szCs w:val="24"/>
        </w:rPr>
        <w:t>и 2017 годов», не соответствует общему объему доходов областного бюджета, отраженному в представленных к законопроекту прогнозируемых объемах налоговых и неналоговых доходов областного бюджета, безвозмездных поступлений в областной бюджет на 2015 год и пла</w:t>
      </w:r>
      <w:r w:rsidR="00707C0E">
        <w:rPr>
          <w:rFonts w:ascii="Times New Roman" w:hAnsi="Times New Roman"/>
          <w:sz w:val="24"/>
          <w:szCs w:val="24"/>
        </w:rPr>
        <w:t>новый период 2016 и 2017 годов.</w:t>
      </w:r>
    </w:p>
    <w:p w:rsidR="00000921" w:rsidRPr="00545B68" w:rsidRDefault="00000921" w:rsidP="00000921">
      <w:pPr>
        <w:autoSpaceDE w:val="0"/>
        <w:autoSpaceDN w:val="0"/>
        <w:adjustRightInd w:val="0"/>
        <w:spacing w:after="0" w:line="264" w:lineRule="auto"/>
        <w:ind w:firstLine="709"/>
        <w:jc w:val="both"/>
        <w:rPr>
          <w:rFonts w:ascii="Times New Roman" w:hAnsi="Times New Roman"/>
          <w:sz w:val="24"/>
          <w:szCs w:val="24"/>
        </w:rPr>
      </w:pPr>
      <w:r w:rsidRPr="00545B68">
        <w:rPr>
          <w:rFonts w:ascii="Times New Roman" w:hAnsi="Times New Roman"/>
          <w:sz w:val="24"/>
          <w:szCs w:val="24"/>
        </w:rPr>
        <w:t>Объем дотации на выравнивание уровня бюджетной обеспеченности на 201</w:t>
      </w:r>
      <w:r>
        <w:rPr>
          <w:rFonts w:ascii="Times New Roman" w:hAnsi="Times New Roman"/>
          <w:sz w:val="24"/>
          <w:szCs w:val="24"/>
        </w:rPr>
        <w:t>5</w:t>
      </w:r>
      <w:r w:rsidRPr="00545B68">
        <w:rPr>
          <w:rFonts w:ascii="Times New Roman" w:hAnsi="Times New Roman"/>
          <w:sz w:val="24"/>
          <w:szCs w:val="24"/>
        </w:rPr>
        <w:t xml:space="preserve"> год запланирован в</w:t>
      </w:r>
      <w:r>
        <w:rPr>
          <w:rFonts w:ascii="Times New Roman" w:hAnsi="Times New Roman"/>
          <w:sz w:val="24"/>
          <w:szCs w:val="24"/>
        </w:rPr>
        <w:t xml:space="preserve"> размере 2325970,1 тыс. рублей</w:t>
      </w:r>
      <w:r w:rsidRPr="00545B68">
        <w:rPr>
          <w:rFonts w:ascii="Times New Roman" w:hAnsi="Times New Roman"/>
          <w:sz w:val="24"/>
          <w:szCs w:val="24"/>
        </w:rPr>
        <w:t>,</w:t>
      </w:r>
      <w:r>
        <w:rPr>
          <w:rFonts w:ascii="Times New Roman" w:hAnsi="Times New Roman"/>
          <w:sz w:val="24"/>
          <w:szCs w:val="24"/>
        </w:rPr>
        <w:t xml:space="preserve"> что ниже плановых назначений 2014 года на 168817,4 тыс. рублей.</w:t>
      </w:r>
      <w:r w:rsidRPr="00545B68">
        <w:rPr>
          <w:rFonts w:ascii="Times New Roman" w:hAnsi="Times New Roman"/>
          <w:sz w:val="24"/>
          <w:szCs w:val="24"/>
        </w:rPr>
        <w:t xml:space="preserve"> </w:t>
      </w:r>
      <w:r>
        <w:rPr>
          <w:rFonts w:ascii="Times New Roman" w:hAnsi="Times New Roman"/>
          <w:sz w:val="24"/>
          <w:szCs w:val="24"/>
        </w:rPr>
        <w:t>Н</w:t>
      </w:r>
      <w:r w:rsidRPr="00545B68">
        <w:rPr>
          <w:rFonts w:ascii="Times New Roman" w:hAnsi="Times New Roman"/>
          <w:sz w:val="24"/>
          <w:szCs w:val="24"/>
        </w:rPr>
        <w:t>а 201</w:t>
      </w:r>
      <w:r>
        <w:rPr>
          <w:rFonts w:ascii="Times New Roman" w:hAnsi="Times New Roman"/>
          <w:sz w:val="24"/>
          <w:szCs w:val="24"/>
        </w:rPr>
        <w:t>6</w:t>
      </w:r>
      <w:r w:rsidRPr="00545B68">
        <w:rPr>
          <w:rFonts w:ascii="Times New Roman" w:hAnsi="Times New Roman"/>
          <w:sz w:val="24"/>
          <w:szCs w:val="24"/>
        </w:rPr>
        <w:t xml:space="preserve"> год ее объем составл</w:t>
      </w:r>
      <w:r>
        <w:rPr>
          <w:rFonts w:ascii="Times New Roman" w:hAnsi="Times New Roman"/>
          <w:sz w:val="24"/>
          <w:szCs w:val="24"/>
        </w:rPr>
        <w:t>яет</w:t>
      </w:r>
      <w:r w:rsidRPr="00545B68">
        <w:rPr>
          <w:rFonts w:ascii="Times New Roman" w:hAnsi="Times New Roman"/>
          <w:sz w:val="24"/>
          <w:szCs w:val="24"/>
        </w:rPr>
        <w:t xml:space="preserve"> </w:t>
      </w:r>
      <w:r>
        <w:rPr>
          <w:rFonts w:ascii="Times New Roman" w:hAnsi="Times New Roman"/>
          <w:sz w:val="24"/>
          <w:szCs w:val="24"/>
        </w:rPr>
        <w:t>1508236,0</w:t>
      </w:r>
      <w:r w:rsidRPr="00545B68">
        <w:rPr>
          <w:rFonts w:ascii="Times New Roman" w:hAnsi="Times New Roman"/>
          <w:sz w:val="24"/>
          <w:szCs w:val="24"/>
        </w:rPr>
        <w:t xml:space="preserve"> тыс. рублей, на </w:t>
      </w:r>
      <w:r>
        <w:rPr>
          <w:rFonts w:ascii="Times New Roman" w:hAnsi="Times New Roman"/>
          <w:sz w:val="24"/>
          <w:szCs w:val="24"/>
        </w:rPr>
        <w:br/>
      </w:r>
      <w:r w:rsidRPr="00545B68">
        <w:rPr>
          <w:rFonts w:ascii="Times New Roman" w:hAnsi="Times New Roman"/>
          <w:sz w:val="24"/>
          <w:szCs w:val="24"/>
        </w:rPr>
        <w:t>201</w:t>
      </w:r>
      <w:r>
        <w:rPr>
          <w:rFonts w:ascii="Times New Roman" w:hAnsi="Times New Roman"/>
          <w:sz w:val="24"/>
          <w:szCs w:val="24"/>
        </w:rPr>
        <w:t>7</w:t>
      </w:r>
      <w:r w:rsidRPr="00545B68">
        <w:rPr>
          <w:rFonts w:ascii="Times New Roman" w:hAnsi="Times New Roman"/>
          <w:sz w:val="24"/>
          <w:szCs w:val="24"/>
        </w:rPr>
        <w:t xml:space="preserve"> </w:t>
      </w:r>
      <w:r>
        <w:rPr>
          <w:rFonts w:ascii="Times New Roman" w:hAnsi="Times New Roman"/>
          <w:sz w:val="24"/>
          <w:szCs w:val="24"/>
        </w:rPr>
        <w:t>год – 1122409,8 тыс. рублей.</w:t>
      </w:r>
    </w:p>
    <w:p w:rsidR="00000921" w:rsidRDefault="00000921" w:rsidP="00000921">
      <w:pPr>
        <w:spacing w:after="0" w:line="264" w:lineRule="auto"/>
        <w:ind w:firstLine="709"/>
        <w:jc w:val="both"/>
        <w:rPr>
          <w:rFonts w:ascii="Times New Roman" w:hAnsi="Times New Roman"/>
          <w:sz w:val="24"/>
          <w:szCs w:val="24"/>
        </w:rPr>
      </w:pPr>
      <w:r w:rsidRPr="00545B68">
        <w:rPr>
          <w:rFonts w:ascii="Times New Roman" w:hAnsi="Times New Roman"/>
          <w:sz w:val="24"/>
          <w:szCs w:val="24"/>
        </w:rPr>
        <w:t>Налоговые</w:t>
      </w:r>
      <w:r>
        <w:rPr>
          <w:rFonts w:ascii="Times New Roman" w:hAnsi="Times New Roman"/>
          <w:sz w:val="24"/>
          <w:szCs w:val="24"/>
        </w:rPr>
        <w:t xml:space="preserve"> и</w:t>
      </w:r>
      <w:r w:rsidRPr="00545B68">
        <w:rPr>
          <w:rFonts w:ascii="Times New Roman" w:hAnsi="Times New Roman"/>
          <w:sz w:val="24"/>
          <w:szCs w:val="24"/>
        </w:rPr>
        <w:t xml:space="preserve"> неналоговые доходы областного бюджета </w:t>
      </w:r>
      <w:r>
        <w:rPr>
          <w:rFonts w:ascii="Times New Roman" w:hAnsi="Times New Roman"/>
          <w:sz w:val="24"/>
          <w:szCs w:val="24"/>
        </w:rPr>
        <w:t xml:space="preserve">на 2015 год </w:t>
      </w:r>
      <w:r w:rsidRPr="00545B68">
        <w:rPr>
          <w:rFonts w:ascii="Times New Roman" w:hAnsi="Times New Roman"/>
          <w:sz w:val="24"/>
          <w:szCs w:val="24"/>
        </w:rPr>
        <w:t>по сравнению с ожидаемым исполнением текущего года увеличиваются на</w:t>
      </w:r>
      <w:r>
        <w:rPr>
          <w:rFonts w:ascii="Times New Roman" w:hAnsi="Times New Roman"/>
          <w:sz w:val="24"/>
          <w:szCs w:val="24"/>
        </w:rPr>
        <w:t xml:space="preserve"> 1526332,5</w:t>
      </w:r>
      <w:r w:rsidRPr="00545B68">
        <w:rPr>
          <w:rFonts w:ascii="Times New Roman" w:hAnsi="Times New Roman"/>
          <w:sz w:val="24"/>
          <w:szCs w:val="24"/>
        </w:rPr>
        <w:t xml:space="preserve"> тыс. рублей, или </w:t>
      </w:r>
      <w:r>
        <w:rPr>
          <w:rFonts w:ascii="Times New Roman" w:hAnsi="Times New Roman"/>
          <w:sz w:val="24"/>
          <w:szCs w:val="24"/>
        </w:rPr>
        <w:br/>
        <w:t>5,2</w:t>
      </w:r>
      <w:r w:rsidRPr="00545B68">
        <w:rPr>
          <w:rFonts w:ascii="Times New Roman" w:hAnsi="Times New Roman"/>
          <w:sz w:val="24"/>
          <w:szCs w:val="24"/>
        </w:rPr>
        <w:t xml:space="preserve"> процента.</w:t>
      </w:r>
      <w:r>
        <w:rPr>
          <w:rFonts w:ascii="Times New Roman" w:hAnsi="Times New Roman"/>
          <w:sz w:val="24"/>
          <w:szCs w:val="24"/>
        </w:rPr>
        <w:t xml:space="preserve"> </w:t>
      </w:r>
      <w:r w:rsidRPr="00D451A9">
        <w:rPr>
          <w:rFonts w:ascii="Times New Roman" w:hAnsi="Times New Roman"/>
          <w:sz w:val="24"/>
          <w:szCs w:val="24"/>
        </w:rPr>
        <w:t>Прогноз поступлений на 201</w:t>
      </w:r>
      <w:r>
        <w:rPr>
          <w:rFonts w:ascii="Times New Roman" w:hAnsi="Times New Roman"/>
          <w:sz w:val="24"/>
          <w:szCs w:val="24"/>
        </w:rPr>
        <w:t>5</w:t>
      </w:r>
      <w:r w:rsidRPr="00D451A9">
        <w:rPr>
          <w:rFonts w:ascii="Times New Roman" w:hAnsi="Times New Roman"/>
          <w:sz w:val="24"/>
          <w:szCs w:val="24"/>
        </w:rPr>
        <w:t xml:space="preserve"> год по основным</w:t>
      </w:r>
      <w:r>
        <w:rPr>
          <w:rFonts w:ascii="Times New Roman" w:hAnsi="Times New Roman"/>
          <w:sz w:val="24"/>
          <w:szCs w:val="24"/>
        </w:rPr>
        <w:t xml:space="preserve"> </w:t>
      </w:r>
      <w:r w:rsidRPr="00D451A9">
        <w:rPr>
          <w:rFonts w:ascii="Times New Roman" w:hAnsi="Times New Roman"/>
          <w:sz w:val="24"/>
          <w:szCs w:val="24"/>
        </w:rPr>
        <w:t>н</w:t>
      </w:r>
      <w:r>
        <w:rPr>
          <w:rFonts w:ascii="Times New Roman" w:hAnsi="Times New Roman"/>
          <w:sz w:val="24"/>
          <w:szCs w:val="24"/>
        </w:rPr>
        <w:t xml:space="preserve">алоговым доходам областного бюджета </w:t>
      </w:r>
      <w:r w:rsidRPr="00D451A9">
        <w:rPr>
          <w:rFonts w:ascii="Times New Roman" w:hAnsi="Times New Roman"/>
          <w:sz w:val="24"/>
          <w:szCs w:val="24"/>
        </w:rPr>
        <w:t>в сравнении с</w:t>
      </w:r>
      <w:r>
        <w:rPr>
          <w:rFonts w:ascii="Times New Roman" w:hAnsi="Times New Roman"/>
          <w:sz w:val="24"/>
          <w:szCs w:val="24"/>
        </w:rPr>
        <w:t xml:space="preserve"> </w:t>
      </w:r>
      <w:r w:rsidRPr="00D451A9">
        <w:rPr>
          <w:rFonts w:ascii="Times New Roman" w:hAnsi="Times New Roman"/>
          <w:sz w:val="24"/>
          <w:szCs w:val="24"/>
        </w:rPr>
        <w:t>исполнением за 201</w:t>
      </w:r>
      <w:r>
        <w:rPr>
          <w:rFonts w:ascii="Times New Roman" w:hAnsi="Times New Roman"/>
          <w:sz w:val="24"/>
          <w:szCs w:val="24"/>
        </w:rPr>
        <w:t>3</w:t>
      </w:r>
      <w:r w:rsidRPr="00D451A9">
        <w:rPr>
          <w:rFonts w:ascii="Times New Roman" w:hAnsi="Times New Roman"/>
          <w:sz w:val="24"/>
          <w:szCs w:val="24"/>
        </w:rPr>
        <w:t xml:space="preserve"> год и ожидаемым исполнением за 201</w:t>
      </w:r>
      <w:r>
        <w:rPr>
          <w:rFonts w:ascii="Times New Roman" w:hAnsi="Times New Roman"/>
          <w:sz w:val="24"/>
          <w:szCs w:val="24"/>
        </w:rPr>
        <w:t>4</w:t>
      </w:r>
      <w:r w:rsidRPr="00D451A9">
        <w:rPr>
          <w:rFonts w:ascii="Times New Roman" w:hAnsi="Times New Roman"/>
          <w:sz w:val="24"/>
          <w:szCs w:val="24"/>
        </w:rPr>
        <w:t xml:space="preserve"> год представлен </w:t>
      </w:r>
      <w:r w:rsidRPr="00A21115">
        <w:rPr>
          <w:rFonts w:ascii="Times New Roman" w:hAnsi="Times New Roman"/>
          <w:sz w:val="24"/>
          <w:szCs w:val="24"/>
        </w:rPr>
        <w:t xml:space="preserve">на рисунке </w:t>
      </w:r>
      <w:r>
        <w:rPr>
          <w:rFonts w:ascii="Times New Roman" w:hAnsi="Times New Roman"/>
          <w:sz w:val="24"/>
          <w:szCs w:val="24"/>
        </w:rPr>
        <w:t>8</w:t>
      </w:r>
      <w:r w:rsidRPr="00A21115">
        <w:rPr>
          <w:rFonts w:ascii="Times New Roman" w:hAnsi="Times New Roman"/>
          <w:sz w:val="24"/>
          <w:szCs w:val="24"/>
        </w:rPr>
        <w:t>.</w:t>
      </w:r>
    </w:p>
    <w:p w:rsidR="000E7090" w:rsidRPr="00545B68" w:rsidRDefault="000E7090" w:rsidP="000E7090">
      <w:pPr>
        <w:spacing w:after="0" w:line="240" w:lineRule="auto"/>
        <w:ind w:firstLine="709"/>
        <w:jc w:val="both"/>
        <w:rPr>
          <w:rFonts w:ascii="Times New Roman" w:hAnsi="Times New Roman"/>
          <w:sz w:val="24"/>
          <w:szCs w:val="24"/>
        </w:rPr>
      </w:pPr>
      <w:r w:rsidRPr="00545B68">
        <w:rPr>
          <w:rFonts w:ascii="Times New Roman" w:hAnsi="Times New Roman"/>
          <w:sz w:val="24"/>
          <w:szCs w:val="24"/>
        </w:rPr>
        <w:t xml:space="preserve">Анализ доходов областного бюджета </w:t>
      </w:r>
      <w:r>
        <w:rPr>
          <w:rFonts w:ascii="Times New Roman" w:hAnsi="Times New Roman"/>
          <w:sz w:val="24"/>
          <w:szCs w:val="24"/>
        </w:rPr>
        <w:t xml:space="preserve">за </w:t>
      </w:r>
      <w:r w:rsidRPr="00545B68">
        <w:rPr>
          <w:rFonts w:ascii="Times New Roman" w:hAnsi="Times New Roman"/>
          <w:sz w:val="24"/>
          <w:szCs w:val="24"/>
        </w:rPr>
        <w:t>20</w:t>
      </w:r>
      <w:r>
        <w:rPr>
          <w:rFonts w:ascii="Times New Roman" w:hAnsi="Times New Roman"/>
          <w:sz w:val="24"/>
          <w:szCs w:val="24"/>
        </w:rPr>
        <w:t>13</w:t>
      </w:r>
      <w:r w:rsidRPr="00545B68">
        <w:rPr>
          <w:rFonts w:ascii="Times New Roman" w:hAnsi="Times New Roman"/>
          <w:sz w:val="24"/>
          <w:szCs w:val="24"/>
        </w:rPr>
        <w:t>-201</w:t>
      </w:r>
      <w:r>
        <w:rPr>
          <w:rFonts w:ascii="Times New Roman" w:hAnsi="Times New Roman"/>
          <w:sz w:val="24"/>
          <w:szCs w:val="24"/>
        </w:rPr>
        <w:t xml:space="preserve">4 годы и на плановый период </w:t>
      </w:r>
      <w:r>
        <w:rPr>
          <w:rFonts w:ascii="Times New Roman" w:hAnsi="Times New Roman"/>
          <w:sz w:val="24"/>
          <w:szCs w:val="24"/>
        </w:rPr>
        <w:br/>
        <w:t>2015-2017 годов</w:t>
      </w:r>
      <w:r w:rsidRPr="00545B68">
        <w:rPr>
          <w:rFonts w:ascii="Times New Roman" w:hAnsi="Times New Roman"/>
          <w:sz w:val="24"/>
          <w:szCs w:val="24"/>
        </w:rPr>
        <w:t xml:space="preserve"> представлен в </w:t>
      </w:r>
      <w:r w:rsidRPr="00000921">
        <w:rPr>
          <w:rFonts w:ascii="Times New Roman" w:hAnsi="Times New Roman"/>
          <w:sz w:val="24"/>
          <w:szCs w:val="24"/>
        </w:rPr>
        <w:t xml:space="preserve">Приложении 1 </w:t>
      </w:r>
      <w:r w:rsidRPr="00545B68">
        <w:rPr>
          <w:rFonts w:ascii="Times New Roman" w:hAnsi="Times New Roman"/>
          <w:sz w:val="24"/>
          <w:szCs w:val="24"/>
        </w:rPr>
        <w:t>к Заключению.</w:t>
      </w:r>
    </w:p>
    <w:p w:rsidR="000E7090" w:rsidRPr="00545B68" w:rsidRDefault="000E7090" w:rsidP="000E7090">
      <w:pPr>
        <w:spacing w:after="0" w:line="240" w:lineRule="auto"/>
        <w:ind w:firstLine="709"/>
        <w:jc w:val="both"/>
        <w:rPr>
          <w:rFonts w:ascii="Times New Roman" w:hAnsi="Times New Roman"/>
          <w:sz w:val="24"/>
          <w:szCs w:val="24"/>
        </w:rPr>
      </w:pPr>
      <w:r w:rsidRPr="00545B68">
        <w:rPr>
          <w:rFonts w:ascii="Times New Roman" w:hAnsi="Times New Roman"/>
          <w:sz w:val="24"/>
          <w:szCs w:val="24"/>
        </w:rPr>
        <w:t xml:space="preserve">Прогноз поступлений </w:t>
      </w:r>
      <w:r>
        <w:rPr>
          <w:rFonts w:ascii="Times New Roman" w:hAnsi="Times New Roman"/>
          <w:sz w:val="24"/>
          <w:szCs w:val="24"/>
        </w:rPr>
        <w:t xml:space="preserve">доходов </w:t>
      </w:r>
      <w:r w:rsidRPr="00545B68">
        <w:rPr>
          <w:rFonts w:ascii="Times New Roman" w:hAnsi="Times New Roman"/>
          <w:sz w:val="24"/>
          <w:szCs w:val="24"/>
        </w:rPr>
        <w:t>областного бюджета</w:t>
      </w:r>
      <w:r>
        <w:rPr>
          <w:rFonts w:ascii="Times New Roman" w:hAnsi="Times New Roman"/>
          <w:sz w:val="24"/>
          <w:szCs w:val="24"/>
        </w:rPr>
        <w:t xml:space="preserve"> на 2015 год и на плановый период </w:t>
      </w:r>
      <w:r>
        <w:rPr>
          <w:rFonts w:ascii="Times New Roman" w:hAnsi="Times New Roman"/>
          <w:sz w:val="24"/>
          <w:szCs w:val="24"/>
        </w:rPr>
        <w:br/>
        <w:t>2016 и 2017 годов</w:t>
      </w:r>
      <w:r w:rsidRPr="00545B68">
        <w:rPr>
          <w:rFonts w:ascii="Times New Roman" w:hAnsi="Times New Roman"/>
          <w:sz w:val="24"/>
          <w:szCs w:val="24"/>
        </w:rPr>
        <w:t xml:space="preserve"> рассчитан с учетом:</w:t>
      </w:r>
    </w:p>
    <w:p w:rsidR="000E7090" w:rsidRPr="006F4656" w:rsidRDefault="000E7090" w:rsidP="000E7090">
      <w:pPr>
        <w:pStyle w:val="ad"/>
        <w:numPr>
          <w:ilvl w:val="0"/>
          <w:numId w:val="6"/>
        </w:numPr>
        <w:tabs>
          <w:tab w:val="left" w:pos="993"/>
        </w:tabs>
        <w:spacing w:after="0" w:line="240" w:lineRule="auto"/>
        <w:ind w:left="0" w:firstLine="709"/>
        <w:jc w:val="both"/>
        <w:rPr>
          <w:rFonts w:ascii="Times New Roman" w:hAnsi="Times New Roman"/>
          <w:sz w:val="24"/>
          <w:szCs w:val="24"/>
        </w:rPr>
      </w:pPr>
      <w:r w:rsidRPr="006F4656">
        <w:rPr>
          <w:rFonts w:ascii="Times New Roman" w:hAnsi="Times New Roman"/>
          <w:sz w:val="24"/>
          <w:szCs w:val="24"/>
        </w:rPr>
        <w:t>основных показателей прогноза социально-экономического развития Амурской области на 201</w:t>
      </w:r>
      <w:r>
        <w:rPr>
          <w:rFonts w:ascii="Times New Roman" w:hAnsi="Times New Roman"/>
          <w:sz w:val="24"/>
          <w:szCs w:val="24"/>
        </w:rPr>
        <w:t>5</w:t>
      </w:r>
      <w:r w:rsidRPr="006F4656">
        <w:rPr>
          <w:rFonts w:ascii="Times New Roman" w:hAnsi="Times New Roman"/>
          <w:sz w:val="24"/>
          <w:szCs w:val="24"/>
        </w:rPr>
        <w:t xml:space="preserve"> год и на плановый период 201</w:t>
      </w:r>
      <w:r>
        <w:rPr>
          <w:rFonts w:ascii="Times New Roman" w:hAnsi="Times New Roman"/>
          <w:sz w:val="24"/>
          <w:szCs w:val="24"/>
        </w:rPr>
        <w:t>6</w:t>
      </w:r>
      <w:r w:rsidRPr="006F4656">
        <w:rPr>
          <w:rFonts w:ascii="Times New Roman" w:hAnsi="Times New Roman"/>
          <w:sz w:val="24"/>
          <w:szCs w:val="24"/>
        </w:rPr>
        <w:t xml:space="preserve"> и 201</w:t>
      </w:r>
      <w:r>
        <w:rPr>
          <w:rFonts w:ascii="Times New Roman" w:hAnsi="Times New Roman"/>
          <w:sz w:val="24"/>
          <w:szCs w:val="24"/>
        </w:rPr>
        <w:t>7</w:t>
      </w:r>
      <w:r w:rsidRPr="006F4656">
        <w:rPr>
          <w:rFonts w:ascii="Times New Roman" w:hAnsi="Times New Roman"/>
          <w:sz w:val="24"/>
          <w:szCs w:val="24"/>
        </w:rPr>
        <w:t xml:space="preserve"> годов;</w:t>
      </w:r>
    </w:p>
    <w:p w:rsidR="000E7090" w:rsidRPr="00707C0E" w:rsidRDefault="000E7090" w:rsidP="00000921">
      <w:pPr>
        <w:spacing w:after="0" w:line="264" w:lineRule="auto"/>
        <w:ind w:firstLine="709"/>
        <w:jc w:val="both"/>
        <w:rPr>
          <w:rFonts w:ascii="Times New Roman" w:hAnsi="Times New Roman"/>
          <w:color w:val="000000" w:themeColor="text1"/>
          <w:sz w:val="24"/>
          <w:szCs w:val="24"/>
        </w:rPr>
      </w:pPr>
    </w:p>
    <w:p w:rsidR="00000921" w:rsidRDefault="00000921" w:rsidP="00000921">
      <w:pPr>
        <w:spacing w:after="0" w:line="360" w:lineRule="auto"/>
        <w:jc w:val="both"/>
        <w:rPr>
          <w:rFonts w:ascii="Times New Roman" w:hAnsi="Times New Roman"/>
          <w:b/>
          <w:sz w:val="28"/>
          <w:szCs w:val="28"/>
        </w:rPr>
      </w:pPr>
      <w:r w:rsidRPr="005D60C8">
        <w:rPr>
          <w:b/>
          <w:noProof/>
          <w:color w:val="DBE5F1" w:themeColor="accent1" w:themeTint="33"/>
          <w:sz w:val="24"/>
          <w:szCs w:val="24"/>
        </w:rPr>
        <w:lastRenderedPageBreak/>
        <w:drawing>
          <wp:inline distT="0" distB="0" distL="0" distR="0" wp14:anchorId="7CEB698D" wp14:editId="6E3D4586">
            <wp:extent cx="6181725" cy="31146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0921" w:rsidRPr="00327E97" w:rsidRDefault="00000921" w:rsidP="00000921">
      <w:pPr>
        <w:ind w:firstLine="720"/>
        <w:jc w:val="center"/>
        <w:rPr>
          <w:rFonts w:ascii="Times New Roman" w:hAnsi="Times New Roman"/>
          <w:b/>
          <w:sz w:val="24"/>
          <w:szCs w:val="24"/>
        </w:rPr>
      </w:pPr>
      <w:r w:rsidRPr="00A21115">
        <w:rPr>
          <w:rFonts w:ascii="Times New Roman" w:hAnsi="Times New Roman"/>
          <w:b/>
          <w:sz w:val="24"/>
          <w:szCs w:val="24"/>
        </w:rPr>
        <w:t xml:space="preserve">Рис. </w:t>
      </w:r>
      <w:r>
        <w:rPr>
          <w:rFonts w:ascii="Times New Roman" w:hAnsi="Times New Roman"/>
          <w:b/>
          <w:sz w:val="24"/>
          <w:szCs w:val="24"/>
        </w:rPr>
        <w:t>8</w:t>
      </w:r>
      <w:r w:rsidRPr="00A21115">
        <w:rPr>
          <w:rFonts w:ascii="Times New Roman" w:hAnsi="Times New Roman"/>
          <w:b/>
          <w:sz w:val="24"/>
          <w:szCs w:val="24"/>
        </w:rPr>
        <w:t xml:space="preserve"> </w:t>
      </w:r>
      <w:r w:rsidRPr="00D7666E">
        <w:rPr>
          <w:rFonts w:ascii="Times New Roman" w:hAnsi="Times New Roman"/>
          <w:b/>
          <w:sz w:val="24"/>
          <w:szCs w:val="24"/>
        </w:rPr>
        <w:t xml:space="preserve">- </w:t>
      </w:r>
      <w:r w:rsidRPr="00327E97">
        <w:rPr>
          <w:rFonts w:ascii="Times New Roman" w:hAnsi="Times New Roman"/>
          <w:b/>
          <w:sz w:val="24"/>
          <w:szCs w:val="24"/>
        </w:rPr>
        <w:t xml:space="preserve">Динамика объема поступлений основных налоговых доходов областного бюджета </w:t>
      </w:r>
      <w:r>
        <w:rPr>
          <w:rFonts w:ascii="Times New Roman" w:hAnsi="Times New Roman"/>
          <w:b/>
          <w:sz w:val="24"/>
          <w:szCs w:val="24"/>
        </w:rPr>
        <w:t>в</w:t>
      </w:r>
      <w:r w:rsidRPr="00327E97">
        <w:rPr>
          <w:rFonts w:ascii="Times New Roman" w:hAnsi="Times New Roman"/>
          <w:b/>
          <w:sz w:val="24"/>
          <w:szCs w:val="24"/>
        </w:rPr>
        <w:t xml:space="preserve"> 20</w:t>
      </w:r>
      <w:r>
        <w:rPr>
          <w:rFonts w:ascii="Times New Roman" w:hAnsi="Times New Roman"/>
          <w:b/>
          <w:sz w:val="24"/>
          <w:szCs w:val="24"/>
        </w:rPr>
        <w:t>13-</w:t>
      </w:r>
      <w:r w:rsidRPr="00327E97">
        <w:rPr>
          <w:rFonts w:ascii="Times New Roman" w:hAnsi="Times New Roman"/>
          <w:b/>
          <w:sz w:val="24"/>
          <w:szCs w:val="24"/>
        </w:rPr>
        <w:t>201</w:t>
      </w:r>
      <w:r>
        <w:rPr>
          <w:rFonts w:ascii="Times New Roman" w:hAnsi="Times New Roman"/>
          <w:b/>
          <w:sz w:val="24"/>
          <w:szCs w:val="24"/>
        </w:rPr>
        <w:t>5</w:t>
      </w:r>
      <w:r w:rsidRPr="00327E97">
        <w:rPr>
          <w:rFonts w:ascii="Times New Roman" w:hAnsi="Times New Roman"/>
          <w:b/>
          <w:sz w:val="24"/>
          <w:szCs w:val="24"/>
        </w:rPr>
        <w:t xml:space="preserve"> год</w:t>
      </w:r>
      <w:r>
        <w:rPr>
          <w:rFonts w:ascii="Times New Roman" w:hAnsi="Times New Roman"/>
          <w:b/>
          <w:sz w:val="24"/>
          <w:szCs w:val="24"/>
        </w:rPr>
        <w:t>ах (млн. рублей)</w:t>
      </w:r>
    </w:p>
    <w:p w:rsidR="000E7090" w:rsidRPr="006F4656" w:rsidRDefault="000E7090" w:rsidP="000E7090">
      <w:pPr>
        <w:pStyle w:val="ad"/>
        <w:numPr>
          <w:ilvl w:val="0"/>
          <w:numId w:val="6"/>
        </w:numPr>
        <w:tabs>
          <w:tab w:val="left" w:pos="993"/>
        </w:tabs>
        <w:spacing w:after="0" w:line="240" w:lineRule="auto"/>
        <w:ind w:left="0" w:firstLine="709"/>
        <w:jc w:val="both"/>
        <w:rPr>
          <w:rFonts w:ascii="Times New Roman" w:hAnsi="Times New Roman"/>
          <w:sz w:val="24"/>
          <w:szCs w:val="24"/>
        </w:rPr>
      </w:pPr>
      <w:r w:rsidRPr="006F4656">
        <w:rPr>
          <w:rFonts w:ascii="Times New Roman" w:hAnsi="Times New Roman"/>
          <w:sz w:val="24"/>
          <w:szCs w:val="24"/>
        </w:rPr>
        <w:t xml:space="preserve">ожидаемых итогов социально-экономического развития Амурской области за </w:t>
      </w:r>
      <w:r w:rsidRPr="006F4656">
        <w:rPr>
          <w:rFonts w:ascii="Times New Roman" w:hAnsi="Times New Roman"/>
          <w:sz w:val="24"/>
          <w:szCs w:val="24"/>
        </w:rPr>
        <w:br/>
        <w:t>201</w:t>
      </w:r>
      <w:r>
        <w:rPr>
          <w:rFonts w:ascii="Times New Roman" w:hAnsi="Times New Roman"/>
          <w:sz w:val="24"/>
          <w:szCs w:val="24"/>
        </w:rPr>
        <w:t>4</w:t>
      </w:r>
      <w:r w:rsidRPr="006F4656">
        <w:rPr>
          <w:rFonts w:ascii="Times New Roman" w:hAnsi="Times New Roman"/>
          <w:sz w:val="24"/>
          <w:szCs w:val="24"/>
        </w:rPr>
        <w:t xml:space="preserve"> год;</w:t>
      </w:r>
    </w:p>
    <w:p w:rsidR="00000921" w:rsidRPr="006F4656" w:rsidRDefault="00000921" w:rsidP="00DA5F4F">
      <w:pPr>
        <w:pStyle w:val="ad"/>
        <w:numPr>
          <w:ilvl w:val="0"/>
          <w:numId w:val="6"/>
        </w:numPr>
        <w:tabs>
          <w:tab w:val="left" w:pos="993"/>
        </w:tabs>
        <w:spacing w:after="0" w:line="240" w:lineRule="auto"/>
        <w:ind w:left="0" w:firstLine="709"/>
        <w:jc w:val="both"/>
        <w:rPr>
          <w:rFonts w:ascii="Times New Roman" w:hAnsi="Times New Roman"/>
          <w:sz w:val="24"/>
          <w:szCs w:val="24"/>
        </w:rPr>
      </w:pPr>
      <w:r w:rsidRPr="006F4656">
        <w:rPr>
          <w:rFonts w:ascii="Times New Roman" w:hAnsi="Times New Roman"/>
          <w:sz w:val="24"/>
          <w:szCs w:val="24"/>
        </w:rPr>
        <w:t>основных направлений налоговой и бюджетной политики Российской Федерации и Амурской области;</w:t>
      </w:r>
    </w:p>
    <w:p w:rsidR="00000921" w:rsidRPr="006F4656" w:rsidRDefault="00000921" w:rsidP="00DA5F4F">
      <w:pPr>
        <w:pStyle w:val="ad"/>
        <w:numPr>
          <w:ilvl w:val="0"/>
          <w:numId w:val="6"/>
        </w:numPr>
        <w:tabs>
          <w:tab w:val="left" w:pos="993"/>
        </w:tabs>
        <w:spacing w:after="0" w:line="240" w:lineRule="auto"/>
        <w:ind w:left="0" w:firstLine="709"/>
        <w:jc w:val="both"/>
        <w:rPr>
          <w:rFonts w:ascii="Times New Roman" w:hAnsi="Times New Roman"/>
          <w:sz w:val="24"/>
          <w:szCs w:val="24"/>
        </w:rPr>
      </w:pPr>
      <w:r w:rsidRPr="006F4656">
        <w:rPr>
          <w:rFonts w:ascii="Times New Roman" w:hAnsi="Times New Roman"/>
          <w:sz w:val="24"/>
          <w:szCs w:val="24"/>
        </w:rPr>
        <w:t>предложений главных администраторов доходов по оценке поступлений администрируемых доходов;</w:t>
      </w:r>
    </w:p>
    <w:p w:rsidR="00000921" w:rsidRPr="006F4656" w:rsidRDefault="00000921" w:rsidP="00DA5F4F">
      <w:pPr>
        <w:pStyle w:val="ad"/>
        <w:numPr>
          <w:ilvl w:val="0"/>
          <w:numId w:val="6"/>
        </w:numPr>
        <w:tabs>
          <w:tab w:val="left" w:pos="993"/>
        </w:tabs>
        <w:spacing w:after="0" w:line="240" w:lineRule="auto"/>
        <w:ind w:left="0" w:firstLine="709"/>
        <w:jc w:val="both"/>
        <w:rPr>
          <w:rFonts w:ascii="Times New Roman" w:hAnsi="Times New Roman"/>
          <w:sz w:val="24"/>
          <w:szCs w:val="24"/>
        </w:rPr>
      </w:pPr>
      <w:r w:rsidRPr="006F4656">
        <w:rPr>
          <w:rFonts w:ascii="Times New Roman" w:hAnsi="Times New Roman"/>
          <w:sz w:val="24"/>
          <w:szCs w:val="24"/>
        </w:rPr>
        <w:t>ожидаемой оценки поступлений доходов за 201</w:t>
      </w:r>
      <w:r>
        <w:rPr>
          <w:rFonts w:ascii="Times New Roman" w:hAnsi="Times New Roman"/>
          <w:sz w:val="24"/>
          <w:szCs w:val="24"/>
        </w:rPr>
        <w:t>4</w:t>
      </w:r>
      <w:r w:rsidRPr="006F4656">
        <w:rPr>
          <w:rFonts w:ascii="Times New Roman" w:hAnsi="Times New Roman"/>
          <w:sz w:val="24"/>
          <w:szCs w:val="24"/>
        </w:rPr>
        <w:t xml:space="preserve"> год и уровня поступлений за предыдущие периоды;</w:t>
      </w:r>
    </w:p>
    <w:p w:rsidR="00000921" w:rsidRPr="0078768A" w:rsidRDefault="00000921" w:rsidP="00DA5F4F">
      <w:pPr>
        <w:pStyle w:val="ad"/>
        <w:numPr>
          <w:ilvl w:val="0"/>
          <w:numId w:val="6"/>
        </w:numPr>
        <w:tabs>
          <w:tab w:val="left" w:pos="993"/>
        </w:tabs>
        <w:spacing w:after="0" w:line="240" w:lineRule="auto"/>
        <w:ind w:left="0" w:firstLine="709"/>
        <w:jc w:val="both"/>
        <w:rPr>
          <w:rFonts w:ascii="Times New Roman" w:hAnsi="Times New Roman"/>
          <w:sz w:val="24"/>
          <w:szCs w:val="24"/>
        </w:rPr>
      </w:pPr>
      <w:r w:rsidRPr="0078768A">
        <w:rPr>
          <w:rFonts w:ascii="Times New Roman" w:hAnsi="Times New Roman"/>
          <w:sz w:val="24"/>
          <w:szCs w:val="24"/>
        </w:rPr>
        <w:t>налогового законодательства, действующего на момент составления проекта бюджета и изменений и дополнений, вступающих в силу с 1 января 2015 года.</w:t>
      </w:r>
    </w:p>
    <w:p w:rsidR="00000921" w:rsidRDefault="00000921" w:rsidP="00000921">
      <w:pPr>
        <w:spacing w:after="0" w:line="240" w:lineRule="auto"/>
        <w:ind w:firstLine="709"/>
        <w:jc w:val="both"/>
        <w:rPr>
          <w:rFonts w:ascii="Times New Roman" w:hAnsi="Times New Roman"/>
          <w:sz w:val="24"/>
          <w:szCs w:val="24"/>
        </w:rPr>
      </w:pPr>
      <w:r w:rsidRPr="00545B68">
        <w:rPr>
          <w:rFonts w:ascii="Times New Roman" w:hAnsi="Times New Roman"/>
          <w:sz w:val="24"/>
          <w:szCs w:val="24"/>
        </w:rPr>
        <w:t>Существенного изменения структуры налоговых</w:t>
      </w:r>
      <w:r>
        <w:rPr>
          <w:rFonts w:ascii="Times New Roman" w:hAnsi="Times New Roman"/>
          <w:sz w:val="24"/>
          <w:szCs w:val="24"/>
        </w:rPr>
        <w:t xml:space="preserve"> и</w:t>
      </w:r>
      <w:r w:rsidRPr="00545B68">
        <w:rPr>
          <w:rFonts w:ascii="Times New Roman" w:hAnsi="Times New Roman"/>
          <w:sz w:val="24"/>
          <w:szCs w:val="24"/>
        </w:rPr>
        <w:t xml:space="preserve"> неналоговых доходов областного бюджета в 201</w:t>
      </w:r>
      <w:r>
        <w:rPr>
          <w:rFonts w:ascii="Times New Roman" w:hAnsi="Times New Roman"/>
          <w:sz w:val="24"/>
          <w:szCs w:val="24"/>
        </w:rPr>
        <w:t>5</w:t>
      </w:r>
      <w:r w:rsidRPr="00545B68">
        <w:rPr>
          <w:rFonts w:ascii="Times New Roman" w:hAnsi="Times New Roman"/>
          <w:sz w:val="24"/>
          <w:szCs w:val="24"/>
        </w:rPr>
        <w:t xml:space="preserve"> году по сравнению с 201</w:t>
      </w:r>
      <w:r>
        <w:rPr>
          <w:rFonts w:ascii="Times New Roman" w:hAnsi="Times New Roman"/>
          <w:sz w:val="24"/>
          <w:szCs w:val="24"/>
        </w:rPr>
        <w:t>4</w:t>
      </w:r>
      <w:r w:rsidRPr="00545B68">
        <w:rPr>
          <w:rFonts w:ascii="Times New Roman" w:hAnsi="Times New Roman"/>
          <w:sz w:val="24"/>
          <w:szCs w:val="24"/>
        </w:rPr>
        <w:t xml:space="preserve"> годом не </w:t>
      </w:r>
      <w:r>
        <w:rPr>
          <w:rFonts w:ascii="Times New Roman" w:hAnsi="Times New Roman"/>
          <w:sz w:val="24"/>
          <w:szCs w:val="24"/>
        </w:rPr>
        <w:t>предусмотрено</w:t>
      </w:r>
      <w:r w:rsidRPr="00545B68">
        <w:rPr>
          <w:rFonts w:ascii="Times New Roman" w:hAnsi="Times New Roman"/>
          <w:sz w:val="24"/>
          <w:szCs w:val="24"/>
        </w:rPr>
        <w:t>. Основную долю доходов областного бюджета в 201</w:t>
      </w:r>
      <w:r>
        <w:rPr>
          <w:rFonts w:ascii="Times New Roman" w:hAnsi="Times New Roman"/>
          <w:sz w:val="24"/>
          <w:szCs w:val="24"/>
        </w:rPr>
        <w:t>5</w:t>
      </w:r>
      <w:r w:rsidRPr="00545B68">
        <w:rPr>
          <w:rFonts w:ascii="Times New Roman" w:hAnsi="Times New Roman"/>
          <w:sz w:val="24"/>
          <w:szCs w:val="24"/>
        </w:rPr>
        <w:t xml:space="preserve"> году, по-прежнему, будут составлять поступления по </w:t>
      </w:r>
      <w:r>
        <w:rPr>
          <w:rFonts w:ascii="Times New Roman" w:hAnsi="Times New Roman"/>
          <w:sz w:val="24"/>
          <w:szCs w:val="24"/>
        </w:rPr>
        <w:t xml:space="preserve">следующим </w:t>
      </w:r>
      <w:r w:rsidRPr="00545B68">
        <w:rPr>
          <w:rFonts w:ascii="Times New Roman" w:hAnsi="Times New Roman"/>
          <w:sz w:val="24"/>
          <w:szCs w:val="24"/>
        </w:rPr>
        <w:t>бюджетообразующим налогам</w:t>
      </w:r>
      <w:r>
        <w:rPr>
          <w:rFonts w:ascii="Times New Roman" w:hAnsi="Times New Roman"/>
          <w:sz w:val="24"/>
          <w:szCs w:val="24"/>
        </w:rPr>
        <w:t>:</w:t>
      </w:r>
      <w:r w:rsidRPr="00545B68">
        <w:rPr>
          <w:rFonts w:ascii="Times New Roman" w:hAnsi="Times New Roman"/>
          <w:sz w:val="24"/>
          <w:szCs w:val="24"/>
        </w:rPr>
        <w:t xml:space="preserve"> налогу на прибыль организаций, налогу на доходы физических лиц, акцизам</w:t>
      </w:r>
      <w:r>
        <w:rPr>
          <w:rFonts w:ascii="Times New Roman" w:hAnsi="Times New Roman"/>
          <w:sz w:val="24"/>
          <w:szCs w:val="24"/>
        </w:rPr>
        <w:t>,</w:t>
      </w:r>
      <w:r w:rsidRPr="00545B68">
        <w:rPr>
          <w:rFonts w:ascii="Times New Roman" w:hAnsi="Times New Roman"/>
          <w:sz w:val="24"/>
          <w:szCs w:val="24"/>
        </w:rPr>
        <w:t xml:space="preserve"> налогу на имущество организаций</w:t>
      </w:r>
      <w:r>
        <w:rPr>
          <w:rFonts w:ascii="Times New Roman" w:hAnsi="Times New Roman"/>
          <w:sz w:val="24"/>
          <w:szCs w:val="24"/>
        </w:rPr>
        <w:t>, налогу на добычу полезных ископаемых, налогу, взимаемому в связи с применением упрощенной системы налогообложения</w:t>
      </w:r>
      <w:r w:rsidRPr="00545B68">
        <w:rPr>
          <w:rFonts w:ascii="Times New Roman" w:hAnsi="Times New Roman"/>
          <w:sz w:val="24"/>
          <w:szCs w:val="24"/>
        </w:rPr>
        <w:t>.</w:t>
      </w:r>
    </w:p>
    <w:p w:rsidR="00000921" w:rsidRPr="00A85E80" w:rsidRDefault="00000921" w:rsidP="00000921">
      <w:pPr>
        <w:spacing w:after="0" w:line="240" w:lineRule="auto"/>
        <w:ind w:firstLine="709"/>
        <w:jc w:val="both"/>
        <w:rPr>
          <w:rFonts w:ascii="Times New Roman" w:hAnsi="Times New Roman"/>
          <w:sz w:val="24"/>
          <w:szCs w:val="24"/>
        </w:rPr>
      </w:pPr>
      <w:r w:rsidRPr="00545B68">
        <w:rPr>
          <w:rFonts w:ascii="Times New Roman" w:hAnsi="Times New Roman"/>
          <w:sz w:val="24"/>
          <w:szCs w:val="24"/>
        </w:rPr>
        <w:t>Структура поступлений налоговых</w:t>
      </w:r>
      <w:r>
        <w:rPr>
          <w:rFonts w:ascii="Times New Roman" w:hAnsi="Times New Roman"/>
          <w:sz w:val="24"/>
          <w:szCs w:val="24"/>
        </w:rPr>
        <w:t xml:space="preserve"> и</w:t>
      </w:r>
      <w:r w:rsidRPr="00545B68">
        <w:rPr>
          <w:rFonts w:ascii="Times New Roman" w:hAnsi="Times New Roman"/>
          <w:sz w:val="24"/>
          <w:szCs w:val="24"/>
        </w:rPr>
        <w:t xml:space="preserve"> неналоговых доходов областного бюджета на 201</w:t>
      </w:r>
      <w:r>
        <w:rPr>
          <w:rFonts w:ascii="Times New Roman" w:hAnsi="Times New Roman"/>
          <w:sz w:val="24"/>
          <w:szCs w:val="24"/>
        </w:rPr>
        <w:t>5</w:t>
      </w:r>
      <w:r w:rsidRPr="00545B68">
        <w:rPr>
          <w:rFonts w:ascii="Times New Roman" w:hAnsi="Times New Roman"/>
          <w:sz w:val="24"/>
          <w:szCs w:val="24"/>
        </w:rPr>
        <w:t xml:space="preserve"> год </w:t>
      </w:r>
      <w:r>
        <w:rPr>
          <w:rFonts w:ascii="Times New Roman" w:hAnsi="Times New Roman"/>
          <w:sz w:val="24"/>
          <w:szCs w:val="24"/>
        </w:rPr>
        <w:t xml:space="preserve">в сравнении с 2014 годом </w:t>
      </w:r>
      <w:r w:rsidRPr="00545B68">
        <w:rPr>
          <w:rFonts w:ascii="Times New Roman" w:hAnsi="Times New Roman"/>
          <w:sz w:val="24"/>
          <w:szCs w:val="24"/>
        </w:rPr>
        <w:t xml:space="preserve">представлена диаграммой </w:t>
      </w:r>
      <w:r>
        <w:rPr>
          <w:rFonts w:ascii="Times New Roman" w:hAnsi="Times New Roman"/>
          <w:sz w:val="24"/>
          <w:szCs w:val="24"/>
        </w:rPr>
        <w:t>на рисунке 9</w:t>
      </w:r>
      <w:r w:rsidRPr="00A21115">
        <w:rPr>
          <w:rFonts w:ascii="Times New Roman" w:hAnsi="Times New Roman"/>
          <w:sz w:val="24"/>
          <w:szCs w:val="24"/>
        </w:rPr>
        <w:t xml:space="preserve">. </w:t>
      </w:r>
      <w:r w:rsidRPr="00A85E80">
        <w:rPr>
          <w:rFonts w:ascii="Times New Roman" w:hAnsi="Times New Roman"/>
          <w:sz w:val="24"/>
          <w:szCs w:val="24"/>
        </w:rPr>
        <w:t>Наибольший удельный вес в структуре налоговых</w:t>
      </w:r>
      <w:r>
        <w:rPr>
          <w:rFonts w:ascii="Times New Roman" w:hAnsi="Times New Roman"/>
          <w:sz w:val="24"/>
          <w:szCs w:val="24"/>
        </w:rPr>
        <w:t xml:space="preserve"> и</w:t>
      </w:r>
      <w:r w:rsidRPr="00A85E80">
        <w:rPr>
          <w:rFonts w:ascii="Times New Roman" w:hAnsi="Times New Roman"/>
          <w:sz w:val="24"/>
          <w:szCs w:val="24"/>
        </w:rPr>
        <w:t xml:space="preserve"> неналоговых доходов занимают налог на доходы физических лиц – 35,9 процента, налог на прибыль организаций - 28,0 процентов.</w:t>
      </w:r>
    </w:p>
    <w:p w:rsidR="000E7090" w:rsidRDefault="000E7090" w:rsidP="000E7090">
      <w:pPr>
        <w:spacing w:after="0" w:line="240" w:lineRule="auto"/>
        <w:ind w:firstLine="680"/>
        <w:jc w:val="both"/>
        <w:rPr>
          <w:rFonts w:ascii="Times New Roman" w:hAnsi="Times New Roman"/>
          <w:sz w:val="24"/>
          <w:szCs w:val="24"/>
        </w:rPr>
      </w:pPr>
      <w:r w:rsidRPr="000131E2">
        <w:rPr>
          <w:rFonts w:ascii="Times New Roman" w:hAnsi="Times New Roman"/>
          <w:sz w:val="24"/>
          <w:szCs w:val="24"/>
        </w:rPr>
        <w:t xml:space="preserve">На протяжении </w:t>
      </w:r>
      <w:r>
        <w:rPr>
          <w:rFonts w:ascii="Times New Roman" w:hAnsi="Times New Roman"/>
          <w:sz w:val="24"/>
          <w:szCs w:val="24"/>
        </w:rPr>
        <w:t>нескольких</w:t>
      </w:r>
      <w:r w:rsidRPr="000131E2">
        <w:rPr>
          <w:rFonts w:ascii="Times New Roman" w:hAnsi="Times New Roman"/>
          <w:sz w:val="24"/>
          <w:szCs w:val="24"/>
        </w:rPr>
        <w:t xml:space="preserve"> лет наблюдается тенденция устойчивого роста </w:t>
      </w:r>
      <w:r>
        <w:rPr>
          <w:rFonts w:ascii="Times New Roman" w:hAnsi="Times New Roman"/>
          <w:sz w:val="24"/>
          <w:szCs w:val="24"/>
        </w:rPr>
        <w:t xml:space="preserve">налоговых и неналоговых </w:t>
      </w:r>
      <w:r w:rsidRPr="000131E2">
        <w:rPr>
          <w:rFonts w:ascii="Times New Roman" w:hAnsi="Times New Roman"/>
          <w:sz w:val="24"/>
          <w:szCs w:val="24"/>
        </w:rPr>
        <w:t>доходов</w:t>
      </w:r>
      <w:r>
        <w:rPr>
          <w:rFonts w:ascii="Times New Roman" w:hAnsi="Times New Roman"/>
          <w:sz w:val="24"/>
          <w:szCs w:val="24"/>
        </w:rPr>
        <w:t xml:space="preserve"> областного</w:t>
      </w:r>
      <w:r w:rsidRPr="000131E2">
        <w:rPr>
          <w:rFonts w:ascii="Times New Roman" w:hAnsi="Times New Roman"/>
          <w:sz w:val="24"/>
          <w:szCs w:val="24"/>
        </w:rPr>
        <w:t xml:space="preserve"> бюджета</w:t>
      </w:r>
      <w:r>
        <w:rPr>
          <w:rFonts w:ascii="Times New Roman" w:hAnsi="Times New Roman"/>
          <w:sz w:val="24"/>
          <w:szCs w:val="24"/>
        </w:rPr>
        <w:t xml:space="preserve">, ожидаемый объем поступлений которых в </w:t>
      </w:r>
      <w:r>
        <w:rPr>
          <w:rFonts w:ascii="Times New Roman" w:hAnsi="Times New Roman"/>
          <w:sz w:val="24"/>
          <w:szCs w:val="24"/>
        </w:rPr>
        <w:br/>
        <w:t>2015 году выше по сравнению с 2011 годом на 31,5 процента, по сравнению с 2012 годом – на 16,8 процента, по сравнению с 2013 годом  – на 16,6 процента.</w:t>
      </w:r>
    </w:p>
    <w:p w:rsidR="000E7090" w:rsidRDefault="000E7090" w:rsidP="000E7090">
      <w:pPr>
        <w:spacing w:after="0" w:line="240" w:lineRule="auto"/>
        <w:ind w:firstLine="680"/>
        <w:jc w:val="both"/>
        <w:rPr>
          <w:rFonts w:ascii="Times New Roman" w:hAnsi="Times New Roman"/>
          <w:sz w:val="24"/>
          <w:szCs w:val="24"/>
        </w:rPr>
      </w:pPr>
      <w:r w:rsidRPr="00D2559F">
        <w:rPr>
          <w:rFonts w:ascii="Times New Roman" w:hAnsi="Times New Roman"/>
          <w:sz w:val="24"/>
          <w:szCs w:val="24"/>
        </w:rPr>
        <w:t>Объем поступлений</w:t>
      </w:r>
      <w:r w:rsidRPr="00D2559F">
        <w:rPr>
          <w:rFonts w:ascii="Times New Roman" w:hAnsi="Times New Roman"/>
          <w:b/>
          <w:sz w:val="24"/>
          <w:szCs w:val="24"/>
        </w:rPr>
        <w:t xml:space="preserve"> </w:t>
      </w:r>
      <w:r>
        <w:rPr>
          <w:rFonts w:ascii="Times New Roman" w:hAnsi="Times New Roman"/>
          <w:sz w:val="24"/>
          <w:szCs w:val="24"/>
        </w:rPr>
        <w:t xml:space="preserve">налоговых и неналоговых доходов областного бюджета </w:t>
      </w:r>
      <w:r>
        <w:rPr>
          <w:rFonts w:ascii="Times New Roman" w:hAnsi="Times New Roman"/>
          <w:sz w:val="24"/>
          <w:szCs w:val="24"/>
        </w:rPr>
        <w:br/>
        <w:t xml:space="preserve">на 2015 год по сравнению с ожидаемым поступлением 2014 года увеличивается </w:t>
      </w:r>
      <w:r>
        <w:rPr>
          <w:rFonts w:ascii="Times New Roman" w:hAnsi="Times New Roman"/>
          <w:sz w:val="24"/>
          <w:szCs w:val="24"/>
        </w:rPr>
        <w:br/>
        <w:t xml:space="preserve">на 5,2 процента, на 2016-2017 годы по сравнению с 2015 годом - на 6,3 процента </w:t>
      </w:r>
      <w:r>
        <w:rPr>
          <w:rFonts w:ascii="Times New Roman" w:hAnsi="Times New Roman"/>
          <w:sz w:val="24"/>
          <w:szCs w:val="24"/>
        </w:rPr>
        <w:br/>
        <w:t xml:space="preserve">и 14,1 процента соответственно, и составляет на 2015 год – 30907801,1 тыс. рублей, на </w:t>
      </w:r>
      <w:r>
        <w:rPr>
          <w:rFonts w:ascii="Times New Roman" w:hAnsi="Times New Roman"/>
          <w:sz w:val="24"/>
          <w:szCs w:val="24"/>
        </w:rPr>
        <w:br/>
        <w:t>2016 год – 32844987,3 тыс. рублей, на 2017 год – 35260127,6 тыс. рублей.</w:t>
      </w:r>
    </w:p>
    <w:p w:rsidR="00000921" w:rsidRPr="00A85E80" w:rsidRDefault="00000921" w:rsidP="00000921">
      <w:pPr>
        <w:spacing w:after="0" w:line="240" w:lineRule="auto"/>
        <w:ind w:firstLine="709"/>
        <w:jc w:val="both"/>
        <w:rPr>
          <w:rFonts w:ascii="Times New Roman" w:hAnsi="Times New Roman"/>
          <w:sz w:val="24"/>
          <w:szCs w:val="24"/>
        </w:rPr>
      </w:pPr>
    </w:p>
    <w:p w:rsidR="00000921" w:rsidRDefault="00000921" w:rsidP="00000921">
      <w:pPr>
        <w:keepNext/>
        <w:spacing w:after="0" w:line="240" w:lineRule="auto"/>
        <w:jc w:val="center"/>
      </w:pPr>
      <w:r>
        <w:rPr>
          <w:noProof/>
          <w:sz w:val="24"/>
          <w:szCs w:val="24"/>
        </w:rPr>
        <w:lastRenderedPageBreak/>
        <w:drawing>
          <wp:inline distT="0" distB="0" distL="0" distR="0" wp14:anchorId="1FA5D36D" wp14:editId="37ACB877">
            <wp:extent cx="6134100" cy="40100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921" w:rsidRPr="008E27D4" w:rsidRDefault="00000921" w:rsidP="00000921">
      <w:pPr>
        <w:pStyle w:val="af4"/>
        <w:spacing w:after="0"/>
        <w:jc w:val="center"/>
        <w:rPr>
          <w:rFonts w:ascii="Times New Roman" w:hAnsi="Times New Roman"/>
          <w:color w:val="auto"/>
          <w:sz w:val="28"/>
          <w:szCs w:val="28"/>
        </w:rPr>
      </w:pPr>
      <w:r w:rsidRPr="008E27D4">
        <w:rPr>
          <w:rFonts w:ascii="Times New Roman" w:hAnsi="Times New Roman"/>
          <w:color w:val="auto"/>
          <w:sz w:val="28"/>
          <w:szCs w:val="28"/>
        </w:rPr>
        <w:t xml:space="preserve">2014 год </w:t>
      </w:r>
    </w:p>
    <w:p w:rsidR="00000921" w:rsidRPr="008E27D4" w:rsidRDefault="00000921" w:rsidP="00000921">
      <w:pPr>
        <w:pStyle w:val="af4"/>
        <w:spacing w:after="0"/>
        <w:jc w:val="center"/>
        <w:rPr>
          <w:rFonts w:ascii="Times New Roman" w:hAnsi="Times New Roman"/>
          <w:color w:val="auto"/>
          <w:sz w:val="24"/>
          <w:szCs w:val="24"/>
        </w:rPr>
      </w:pPr>
      <w:r w:rsidRPr="008E27D4">
        <w:rPr>
          <w:rFonts w:ascii="Times New Roman" w:hAnsi="Times New Roman"/>
          <w:color w:val="auto"/>
          <w:sz w:val="24"/>
          <w:szCs w:val="24"/>
        </w:rPr>
        <w:t xml:space="preserve">(по плановым показателям на 2014 год) </w:t>
      </w:r>
    </w:p>
    <w:p w:rsidR="00000921" w:rsidRDefault="00000921" w:rsidP="00000921">
      <w:pPr>
        <w:keepNext/>
        <w:spacing w:after="0" w:line="240" w:lineRule="auto"/>
        <w:jc w:val="center"/>
      </w:pPr>
      <w:r>
        <w:rPr>
          <w:noProof/>
          <w:sz w:val="24"/>
          <w:szCs w:val="24"/>
        </w:rPr>
        <w:drawing>
          <wp:inline distT="0" distB="0" distL="0" distR="0" wp14:anchorId="4968CC68" wp14:editId="54769A01">
            <wp:extent cx="6119495" cy="4000477"/>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0921" w:rsidRPr="008E27D4" w:rsidRDefault="00000921" w:rsidP="00000921">
      <w:pPr>
        <w:pStyle w:val="af4"/>
        <w:jc w:val="center"/>
        <w:rPr>
          <w:rFonts w:ascii="Times New Roman" w:hAnsi="Times New Roman"/>
          <w:color w:val="auto"/>
          <w:sz w:val="28"/>
          <w:szCs w:val="28"/>
        </w:rPr>
      </w:pPr>
      <w:r w:rsidRPr="008E27D4">
        <w:rPr>
          <w:rFonts w:ascii="Times New Roman" w:hAnsi="Times New Roman"/>
          <w:color w:val="auto"/>
          <w:sz w:val="28"/>
          <w:szCs w:val="28"/>
        </w:rPr>
        <w:t xml:space="preserve">2015 год </w:t>
      </w:r>
    </w:p>
    <w:p w:rsidR="00000921" w:rsidRPr="00545B68" w:rsidRDefault="00000921" w:rsidP="00000921">
      <w:pPr>
        <w:jc w:val="center"/>
        <w:rPr>
          <w:rFonts w:ascii="Times New Roman" w:hAnsi="Times New Roman"/>
          <w:b/>
          <w:sz w:val="24"/>
          <w:szCs w:val="24"/>
        </w:rPr>
      </w:pPr>
      <w:r w:rsidRPr="00A21115">
        <w:rPr>
          <w:rFonts w:ascii="Times New Roman" w:hAnsi="Times New Roman"/>
          <w:b/>
          <w:sz w:val="24"/>
          <w:szCs w:val="24"/>
        </w:rPr>
        <w:t xml:space="preserve">Рис. </w:t>
      </w:r>
      <w:r>
        <w:rPr>
          <w:rFonts w:ascii="Times New Roman" w:hAnsi="Times New Roman"/>
          <w:b/>
          <w:sz w:val="24"/>
          <w:szCs w:val="24"/>
        </w:rPr>
        <w:t>9</w:t>
      </w:r>
      <w:r w:rsidRPr="008E27D4">
        <w:rPr>
          <w:rFonts w:ascii="Times New Roman" w:hAnsi="Times New Roman"/>
          <w:b/>
          <w:color w:val="FF0000"/>
          <w:sz w:val="24"/>
          <w:szCs w:val="24"/>
        </w:rPr>
        <w:t xml:space="preserve"> </w:t>
      </w:r>
      <w:r w:rsidRPr="00980785">
        <w:rPr>
          <w:rFonts w:ascii="Times New Roman" w:hAnsi="Times New Roman"/>
          <w:b/>
          <w:sz w:val="24"/>
          <w:szCs w:val="24"/>
        </w:rPr>
        <w:t xml:space="preserve">- Структура </w:t>
      </w:r>
      <w:r w:rsidRPr="00545B68">
        <w:rPr>
          <w:rFonts w:ascii="Times New Roman" w:hAnsi="Times New Roman"/>
          <w:b/>
          <w:sz w:val="24"/>
          <w:szCs w:val="24"/>
        </w:rPr>
        <w:t>налоговых</w:t>
      </w:r>
      <w:r>
        <w:rPr>
          <w:rFonts w:ascii="Times New Roman" w:hAnsi="Times New Roman"/>
          <w:b/>
          <w:sz w:val="24"/>
          <w:szCs w:val="24"/>
        </w:rPr>
        <w:t xml:space="preserve"> и</w:t>
      </w:r>
      <w:r w:rsidRPr="00545B68">
        <w:rPr>
          <w:rFonts w:ascii="Times New Roman" w:hAnsi="Times New Roman"/>
          <w:b/>
          <w:sz w:val="24"/>
          <w:szCs w:val="24"/>
        </w:rPr>
        <w:t xml:space="preserve"> неналоговых доходов областного бюджета </w:t>
      </w:r>
      <w:r w:rsidR="00707C0E">
        <w:rPr>
          <w:rFonts w:ascii="Times New Roman" w:hAnsi="Times New Roman"/>
          <w:b/>
          <w:sz w:val="24"/>
          <w:szCs w:val="24"/>
        </w:rPr>
        <w:br/>
      </w:r>
      <w:r>
        <w:rPr>
          <w:rFonts w:ascii="Times New Roman" w:hAnsi="Times New Roman"/>
          <w:b/>
          <w:sz w:val="24"/>
          <w:szCs w:val="24"/>
        </w:rPr>
        <w:t xml:space="preserve">на 2014-2015 годы, в процентах </w:t>
      </w:r>
      <w:r w:rsidRPr="00545B68">
        <w:rPr>
          <w:rFonts w:ascii="Times New Roman" w:hAnsi="Times New Roman"/>
          <w:b/>
          <w:sz w:val="24"/>
          <w:szCs w:val="24"/>
        </w:rPr>
        <w:br/>
      </w:r>
    </w:p>
    <w:p w:rsidR="00000921" w:rsidRPr="00622CEE" w:rsidRDefault="00000921" w:rsidP="00000921">
      <w:pPr>
        <w:spacing w:after="0" w:line="240" w:lineRule="auto"/>
        <w:ind w:firstLine="680"/>
        <w:jc w:val="both"/>
        <w:rPr>
          <w:rFonts w:ascii="Times New Roman" w:hAnsi="Times New Roman"/>
          <w:color w:val="000000" w:themeColor="text1"/>
          <w:sz w:val="24"/>
          <w:szCs w:val="24"/>
        </w:rPr>
      </w:pPr>
      <w:r>
        <w:rPr>
          <w:rFonts w:ascii="Times New Roman" w:hAnsi="Times New Roman"/>
          <w:sz w:val="24"/>
          <w:szCs w:val="24"/>
        </w:rPr>
        <w:lastRenderedPageBreak/>
        <w:t xml:space="preserve">Удельный вес налоговых и неналоговых доходов в структуре доходов областного бюджета возрастает с 63,4 процента в 2014 году до 91,2 процента – в 2015 году, </w:t>
      </w:r>
      <w:r>
        <w:rPr>
          <w:rFonts w:ascii="Times New Roman" w:hAnsi="Times New Roman"/>
          <w:sz w:val="24"/>
          <w:szCs w:val="24"/>
        </w:rPr>
        <w:br/>
        <w:t xml:space="preserve">95,5 процента – в 2016 году, 96,7 процента - в 2017 году. </w:t>
      </w:r>
      <w:r w:rsidRPr="00260980">
        <w:rPr>
          <w:rFonts w:ascii="Times New Roman" w:hAnsi="Times New Roman"/>
          <w:sz w:val="24"/>
          <w:szCs w:val="24"/>
        </w:rPr>
        <w:t xml:space="preserve">Динамика поступлений </w:t>
      </w:r>
      <w:r>
        <w:rPr>
          <w:rFonts w:ascii="Times New Roman" w:hAnsi="Times New Roman"/>
          <w:sz w:val="24"/>
          <w:szCs w:val="24"/>
        </w:rPr>
        <w:t>налоговых и неналоговых д</w:t>
      </w:r>
      <w:r w:rsidRPr="00260980">
        <w:rPr>
          <w:rFonts w:ascii="Times New Roman" w:hAnsi="Times New Roman"/>
          <w:sz w:val="24"/>
          <w:szCs w:val="24"/>
        </w:rPr>
        <w:t xml:space="preserve">оходов </w:t>
      </w:r>
      <w:r>
        <w:rPr>
          <w:rFonts w:ascii="Times New Roman" w:hAnsi="Times New Roman"/>
          <w:sz w:val="24"/>
          <w:szCs w:val="24"/>
        </w:rPr>
        <w:t>областного</w:t>
      </w:r>
      <w:r w:rsidRPr="00260980">
        <w:rPr>
          <w:rFonts w:ascii="Times New Roman" w:hAnsi="Times New Roman"/>
          <w:sz w:val="24"/>
          <w:szCs w:val="24"/>
        </w:rPr>
        <w:t xml:space="preserve"> бюджета </w:t>
      </w:r>
      <w:r>
        <w:rPr>
          <w:rFonts w:ascii="Times New Roman" w:hAnsi="Times New Roman"/>
          <w:sz w:val="24"/>
          <w:szCs w:val="24"/>
        </w:rPr>
        <w:t>в</w:t>
      </w:r>
      <w:r w:rsidRPr="00260980">
        <w:rPr>
          <w:rFonts w:ascii="Times New Roman" w:hAnsi="Times New Roman"/>
          <w:sz w:val="24"/>
          <w:szCs w:val="24"/>
        </w:rPr>
        <w:t xml:space="preserve"> 20</w:t>
      </w:r>
      <w:r>
        <w:rPr>
          <w:rFonts w:ascii="Times New Roman" w:hAnsi="Times New Roman"/>
          <w:sz w:val="24"/>
          <w:szCs w:val="24"/>
        </w:rPr>
        <w:t>11</w:t>
      </w:r>
      <w:r w:rsidRPr="00260980">
        <w:rPr>
          <w:rFonts w:ascii="Times New Roman" w:hAnsi="Times New Roman"/>
          <w:sz w:val="24"/>
          <w:szCs w:val="24"/>
        </w:rPr>
        <w:t>-201</w:t>
      </w:r>
      <w:r>
        <w:rPr>
          <w:rFonts w:ascii="Times New Roman" w:hAnsi="Times New Roman"/>
          <w:sz w:val="24"/>
          <w:szCs w:val="24"/>
        </w:rPr>
        <w:t>7</w:t>
      </w:r>
      <w:r w:rsidRPr="00260980">
        <w:rPr>
          <w:rFonts w:ascii="Times New Roman" w:hAnsi="Times New Roman"/>
          <w:sz w:val="24"/>
          <w:szCs w:val="24"/>
        </w:rPr>
        <w:t xml:space="preserve"> год</w:t>
      </w:r>
      <w:r>
        <w:rPr>
          <w:rFonts w:ascii="Times New Roman" w:hAnsi="Times New Roman"/>
          <w:sz w:val="24"/>
          <w:szCs w:val="24"/>
        </w:rPr>
        <w:t>ах</w:t>
      </w:r>
      <w:r w:rsidRPr="00260980">
        <w:rPr>
          <w:rFonts w:ascii="Times New Roman" w:hAnsi="Times New Roman"/>
          <w:sz w:val="24"/>
          <w:szCs w:val="24"/>
        </w:rPr>
        <w:t xml:space="preserve"> представлена </w:t>
      </w:r>
      <w:r w:rsidRPr="00D7666E">
        <w:rPr>
          <w:rFonts w:ascii="Times New Roman" w:hAnsi="Times New Roman"/>
          <w:sz w:val="24"/>
          <w:szCs w:val="24"/>
        </w:rPr>
        <w:t xml:space="preserve">на </w:t>
      </w:r>
      <w:r w:rsidRPr="00A21115">
        <w:rPr>
          <w:rFonts w:ascii="Times New Roman" w:hAnsi="Times New Roman"/>
          <w:sz w:val="24"/>
          <w:szCs w:val="24"/>
        </w:rPr>
        <w:t>рисунке 1</w:t>
      </w:r>
      <w:r>
        <w:rPr>
          <w:rFonts w:ascii="Times New Roman" w:hAnsi="Times New Roman"/>
          <w:sz w:val="24"/>
          <w:szCs w:val="24"/>
        </w:rPr>
        <w:t>0</w:t>
      </w:r>
      <w:r w:rsidRPr="00A21115">
        <w:rPr>
          <w:rFonts w:ascii="Times New Roman" w:hAnsi="Times New Roman"/>
          <w:sz w:val="24"/>
          <w:szCs w:val="24"/>
        </w:rPr>
        <w:t>.</w:t>
      </w:r>
    </w:p>
    <w:p w:rsidR="00000921" w:rsidRDefault="00000921" w:rsidP="00000921">
      <w:pPr>
        <w:spacing w:after="0" w:line="240" w:lineRule="auto"/>
        <w:ind w:firstLine="680"/>
        <w:jc w:val="both"/>
        <w:rPr>
          <w:rFonts w:ascii="Times New Roman" w:hAnsi="Times New Roman"/>
          <w:b/>
          <w:sz w:val="24"/>
          <w:szCs w:val="24"/>
        </w:rPr>
      </w:pPr>
    </w:p>
    <w:p w:rsidR="00000921" w:rsidRDefault="00000921" w:rsidP="00000921">
      <w:pPr>
        <w:spacing w:after="0" w:line="240" w:lineRule="auto"/>
        <w:jc w:val="both"/>
        <w:rPr>
          <w:rFonts w:ascii="Times New Roman" w:hAnsi="Times New Roman"/>
          <w:b/>
          <w:sz w:val="24"/>
          <w:szCs w:val="24"/>
        </w:rPr>
      </w:pPr>
      <w:r w:rsidRPr="00D5030D">
        <w:rPr>
          <w:noProof/>
          <w:color w:val="0D0D0D" w:themeColor="text1" w:themeTint="F2"/>
          <w:sz w:val="24"/>
          <w:szCs w:val="24"/>
        </w:rPr>
        <w:drawing>
          <wp:inline distT="0" distB="0" distL="0" distR="0" wp14:anchorId="235A149B" wp14:editId="51D544AA">
            <wp:extent cx="6219825" cy="43910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921" w:rsidRPr="00260980" w:rsidRDefault="00000921" w:rsidP="00000921">
      <w:pPr>
        <w:ind w:firstLine="709"/>
        <w:jc w:val="center"/>
        <w:rPr>
          <w:rFonts w:ascii="Times New Roman" w:hAnsi="Times New Roman"/>
          <w:b/>
          <w:color w:val="000000" w:themeColor="text1"/>
          <w:sz w:val="24"/>
          <w:szCs w:val="24"/>
        </w:rPr>
      </w:pPr>
      <w:r w:rsidRPr="00A21115">
        <w:rPr>
          <w:rFonts w:ascii="Times New Roman" w:hAnsi="Times New Roman"/>
          <w:b/>
          <w:sz w:val="24"/>
          <w:szCs w:val="24"/>
        </w:rPr>
        <w:t>Рис. 1</w:t>
      </w:r>
      <w:r>
        <w:rPr>
          <w:rFonts w:ascii="Times New Roman" w:hAnsi="Times New Roman"/>
          <w:b/>
          <w:sz w:val="24"/>
          <w:szCs w:val="24"/>
        </w:rPr>
        <w:t>0</w:t>
      </w:r>
      <w:r w:rsidRPr="000A5786">
        <w:rPr>
          <w:rFonts w:ascii="Times New Roman" w:hAnsi="Times New Roman"/>
          <w:b/>
          <w:color w:val="FF0000"/>
          <w:sz w:val="24"/>
          <w:szCs w:val="24"/>
        </w:rPr>
        <w:t xml:space="preserve"> </w:t>
      </w:r>
      <w:r>
        <w:rPr>
          <w:rFonts w:ascii="Times New Roman" w:hAnsi="Times New Roman"/>
          <w:b/>
          <w:sz w:val="24"/>
          <w:szCs w:val="24"/>
        </w:rPr>
        <w:t>-</w:t>
      </w:r>
      <w:r w:rsidRPr="00980785">
        <w:rPr>
          <w:rFonts w:ascii="Times New Roman" w:hAnsi="Times New Roman"/>
          <w:b/>
          <w:sz w:val="24"/>
          <w:szCs w:val="24"/>
        </w:rPr>
        <w:t xml:space="preserve"> </w:t>
      </w:r>
      <w:r w:rsidRPr="00260980">
        <w:rPr>
          <w:rFonts w:ascii="Times New Roman" w:hAnsi="Times New Roman"/>
          <w:b/>
          <w:color w:val="000000" w:themeColor="text1"/>
          <w:sz w:val="24"/>
          <w:szCs w:val="24"/>
        </w:rPr>
        <w:t xml:space="preserve">Динамика поступлений </w:t>
      </w:r>
      <w:r>
        <w:rPr>
          <w:rFonts w:ascii="Times New Roman" w:hAnsi="Times New Roman"/>
          <w:b/>
          <w:color w:val="000000" w:themeColor="text1"/>
          <w:sz w:val="24"/>
          <w:szCs w:val="24"/>
        </w:rPr>
        <w:t xml:space="preserve">налоговых и неналоговых </w:t>
      </w:r>
      <w:r w:rsidRPr="00260980">
        <w:rPr>
          <w:rFonts w:ascii="Times New Roman" w:hAnsi="Times New Roman"/>
          <w:b/>
          <w:color w:val="000000" w:themeColor="text1"/>
          <w:sz w:val="24"/>
          <w:szCs w:val="24"/>
        </w:rPr>
        <w:t>доходов</w:t>
      </w:r>
      <w:r>
        <w:rPr>
          <w:rFonts w:ascii="Times New Roman" w:hAnsi="Times New Roman"/>
          <w:b/>
          <w:color w:val="000000" w:themeColor="text1"/>
          <w:sz w:val="24"/>
          <w:szCs w:val="24"/>
        </w:rPr>
        <w:t xml:space="preserve"> областного</w:t>
      </w:r>
      <w:r w:rsidRPr="00260980">
        <w:rPr>
          <w:rFonts w:ascii="Times New Roman" w:hAnsi="Times New Roman"/>
          <w:b/>
          <w:color w:val="000000" w:themeColor="text1"/>
          <w:sz w:val="24"/>
          <w:szCs w:val="24"/>
        </w:rPr>
        <w:t xml:space="preserve"> бюджета </w:t>
      </w:r>
      <w:r>
        <w:rPr>
          <w:rFonts w:ascii="Times New Roman" w:hAnsi="Times New Roman"/>
          <w:b/>
          <w:color w:val="000000" w:themeColor="text1"/>
          <w:sz w:val="24"/>
          <w:szCs w:val="24"/>
        </w:rPr>
        <w:t>в</w:t>
      </w:r>
      <w:r w:rsidRPr="00260980">
        <w:rPr>
          <w:rFonts w:ascii="Times New Roman" w:hAnsi="Times New Roman"/>
          <w:b/>
          <w:color w:val="000000" w:themeColor="text1"/>
          <w:sz w:val="24"/>
          <w:szCs w:val="24"/>
        </w:rPr>
        <w:t xml:space="preserve"> 20</w:t>
      </w:r>
      <w:r>
        <w:rPr>
          <w:rFonts w:ascii="Times New Roman" w:hAnsi="Times New Roman"/>
          <w:b/>
          <w:color w:val="000000" w:themeColor="text1"/>
          <w:sz w:val="24"/>
          <w:szCs w:val="24"/>
        </w:rPr>
        <w:t>11</w:t>
      </w:r>
      <w:r w:rsidRPr="00260980">
        <w:rPr>
          <w:rFonts w:ascii="Times New Roman" w:hAnsi="Times New Roman"/>
          <w:b/>
          <w:color w:val="000000" w:themeColor="text1"/>
          <w:sz w:val="24"/>
          <w:szCs w:val="24"/>
        </w:rPr>
        <w:t>-201</w:t>
      </w:r>
      <w:r>
        <w:rPr>
          <w:rFonts w:ascii="Times New Roman" w:hAnsi="Times New Roman"/>
          <w:b/>
          <w:color w:val="000000" w:themeColor="text1"/>
          <w:sz w:val="24"/>
          <w:szCs w:val="24"/>
        </w:rPr>
        <w:t>7</w:t>
      </w:r>
      <w:r w:rsidRPr="00260980">
        <w:rPr>
          <w:rFonts w:ascii="Times New Roman" w:hAnsi="Times New Roman"/>
          <w:b/>
          <w:color w:val="000000" w:themeColor="text1"/>
          <w:sz w:val="24"/>
          <w:szCs w:val="24"/>
        </w:rPr>
        <w:t xml:space="preserve"> год</w:t>
      </w:r>
      <w:r>
        <w:rPr>
          <w:rFonts w:ascii="Times New Roman" w:hAnsi="Times New Roman"/>
          <w:b/>
          <w:color w:val="000000" w:themeColor="text1"/>
          <w:sz w:val="24"/>
          <w:szCs w:val="24"/>
        </w:rPr>
        <w:t>ах, млн. рублей</w:t>
      </w:r>
    </w:p>
    <w:p w:rsidR="00000921" w:rsidRPr="00545B68" w:rsidRDefault="00000921" w:rsidP="00000921">
      <w:pPr>
        <w:spacing w:after="0" w:line="240" w:lineRule="auto"/>
        <w:ind w:firstLine="680"/>
        <w:jc w:val="both"/>
        <w:rPr>
          <w:rFonts w:ascii="Times New Roman" w:hAnsi="Times New Roman"/>
          <w:b/>
          <w:sz w:val="24"/>
          <w:szCs w:val="24"/>
        </w:rPr>
      </w:pPr>
      <w:r w:rsidRPr="00545B68">
        <w:rPr>
          <w:rFonts w:ascii="Times New Roman" w:hAnsi="Times New Roman"/>
          <w:b/>
          <w:sz w:val="24"/>
          <w:szCs w:val="24"/>
        </w:rPr>
        <w:t>Налог на прибыль организаций</w:t>
      </w:r>
    </w:p>
    <w:p w:rsidR="00000921" w:rsidRPr="00545B68" w:rsidRDefault="00000921" w:rsidP="00000921">
      <w:pPr>
        <w:spacing w:after="0" w:line="240" w:lineRule="auto"/>
        <w:ind w:firstLine="709"/>
        <w:jc w:val="both"/>
        <w:rPr>
          <w:rFonts w:ascii="Times New Roman" w:hAnsi="Times New Roman"/>
          <w:sz w:val="24"/>
          <w:szCs w:val="24"/>
        </w:rPr>
      </w:pPr>
      <w:r w:rsidRPr="00545B68">
        <w:rPr>
          <w:rFonts w:ascii="Times New Roman" w:hAnsi="Times New Roman"/>
          <w:sz w:val="24"/>
          <w:szCs w:val="24"/>
        </w:rPr>
        <w:t xml:space="preserve">В соответствии с данными, отраженными в прогнозируемом на </w:t>
      </w:r>
      <w:r>
        <w:rPr>
          <w:rFonts w:ascii="Times New Roman" w:hAnsi="Times New Roman"/>
          <w:sz w:val="24"/>
          <w:szCs w:val="24"/>
        </w:rPr>
        <w:t xml:space="preserve">очередной финансовый год и плановый период </w:t>
      </w:r>
      <w:r w:rsidRPr="00545B68">
        <w:rPr>
          <w:rFonts w:ascii="Times New Roman" w:hAnsi="Times New Roman"/>
          <w:sz w:val="24"/>
          <w:szCs w:val="24"/>
        </w:rPr>
        <w:t>объеме налоговых</w:t>
      </w:r>
      <w:r>
        <w:rPr>
          <w:rFonts w:ascii="Times New Roman" w:hAnsi="Times New Roman"/>
          <w:sz w:val="24"/>
          <w:szCs w:val="24"/>
        </w:rPr>
        <w:t xml:space="preserve"> и</w:t>
      </w:r>
      <w:r w:rsidRPr="00545B68">
        <w:rPr>
          <w:rFonts w:ascii="Times New Roman" w:hAnsi="Times New Roman"/>
          <w:sz w:val="24"/>
          <w:szCs w:val="24"/>
        </w:rPr>
        <w:t xml:space="preserve"> неналоговых доходов</w:t>
      </w:r>
      <w:r>
        <w:rPr>
          <w:rFonts w:ascii="Times New Roman" w:hAnsi="Times New Roman"/>
          <w:sz w:val="24"/>
          <w:szCs w:val="24"/>
        </w:rPr>
        <w:t xml:space="preserve"> областного бюджета</w:t>
      </w:r>
      <w:r w:rsidRPr="00545B68">
        <w:rPr>
          <w:rFonts w:ascii="Times New Roman" w:hAnsi="Times New Roman"/>
          <w:sz w:val="24"/>
          <w:szCs w:val="24"/>
        </w:rPr>
        <w:t>, поступление налога на прибыль организаций</w:t>
      </w:r>
      <w:r>
        <w:rPr>
          <w:rFonts w:ascii="Times New Roman" w:hAnsi="Times New Roman"/>
          <w:sz w:val="24"/>
          <w:szCs w:val="24"/>
        </w:rPr>
        <w:t xml:space="preserve"> на 2015 год</w:t>
      </w:r>
      <w:r w:rsidRPr="00545B68">
        <w:rPr>
          <w:rFonts w:ascii="Times New Roman" w:hAnsi="Times New Roman"/>
          <w:sz w:val="24"/>
          <w:szCs w:val="24"/>
        </w:rPr>
        <w:t xml:space="preserve"> запланировано в сумме </w:t>
      </w:r>
      <w:r>
        <w:rPr>
          <w:rFonts w:ascii="Times New Roman" w:hAnsi="Times New Roman"/>
          <w:sz w:val="24"/>
          <w:szCs w:val="24"/>
        </w:rPr>
        <w:t>8647305,0</w:t>
      </w:r>
      <w:r w:rsidRPr="00545B68">
        <w:rPr>
          <w:rFonts w:ascii="Times New Roman" w:hAnsi="Times New Roman"/>
          <w:sz w:val="24"/>
          <w:szCs w:val="24"/>
        </w:rPr>
        <w:t xml:space="preserve"> тыс. рублей</w:t>
      </w:r>
      <w:r>
        <w:rPr>
          <w:rFonts w:ascii="Times New Roman" w:hAnsi="Times New Roman"/>
          <w:sz w:val="24"/>
          <w:szCs w:val="24"/>
        </w:rPr>
        <w:t>, что выше ожидаемого поступления 2014 года на 329350,0 тыс. рублей, или 4,0 процента</w:t>
      </w:r>
      <w:r w:rsidRPr="00545B68">
        <w:rPr>
          <w:rFonts w:ascii="Times New Roman" w:hAnsi="Times New Roman"/>
          <w:sz w:val="24"/>
          <w:szCs w:val="24"/>
        </w:rPr>
        <w:t>.</w:t>
      </w:r>
      <w:r>
        <w:rPr>
          <w:rFonts w:ascii="Times New Roman" w:hAnsi="Times New Roman"/>
          <w:sz w:val="24"/>
          <w:szCs w:val="24"/>
        </w:rPr>
        <w:t xml:space="preserve"> Прогноз поступлений налога на прибыль организаций в областной бюджет на 2016 год составляет 9096964,0 тыс. рублей, на 2017 год – 9570007,0 тыс. рублей.</w:t>
      </w:r>
    </w:p>
    <w:p w:rsidR="00000921" w:rsidRDefault="00000921" w:rsidP="00000921">
      <w:pPr>
        <w:spacing w:after="0" w:line="240" w:lineRule="auto"/>
        <w:ind w:firstLine="709"/>
        <w:jc w:val="both"/>
        <w:rPr>
          <w:rFonts w:ascii="Times New Roman" w:hAnsi="Times New Roman"/>
          <w:sz w:val="24"/>
          <w:szCs w:val="24"/>
        </w:rPr>
      </w:pPr>
      <w:r w:rsidRPr="00AA6C55">
        <w:rPr>
          <w:rFonts w:ascii="Times New Roman" w:hAnsi="Times New Roman"/>
          <w:sz w:val="24"/>
          <w:szCs w:val="24"/>
        </w:rPr>
        <w:t xml:space="preserve">Расчет налога на прибыль организаций на 2015 год произведен исходя из объема прибыли в целях налогообложения, сформированного на основании отчетных данных </w:t>
      </w:r>
      <w:r>
        <w:rPr>
          <w:rFonts w:ascii="Times New Roman" w:hAnsi="Times New Roman"/>
          <w:sz w:val="24"/>
          <w:szCs w:val="24"/>
        </w:rPr>
        <w:br/>
      </w:r>
      <w:r w:rsidRPr="00AA6C55">
        <w:rPr>
          <w:rFonts w:ascii="Times New Roman" w:hAnsi="Times New Roman"/>
          <w:sz w:val="24"/>
          <w:szCs w:val="24"/>
        </w:rPr>
        <w:t xml:space="preserve">УФНС России по Амурской области о налоговой базе за 2013 год, ожидаемой оценки налогооблагаемой прибыли в 2014 году и ожидаемой налогооблагаемой базы </w:t>
      </w:r>
      <w:r>
        <w:rPr>
          <w:rFonts w:ascii="Times New Roman" w:hAnsi="Times New Roman"/>
          <w:sz w:val="24"/>
          <w:szCs w:val="24"/>
        </w:rPr>
        <w:br/>
      </w:r>
      <w:r w:rsidRPr="00AA6C55">
        <w:rPr>
          <w:rFonts w:ascii="Times New Roman" w:hAnsi="Times New Roman"/>
          <w:sz w:val="24"/>
          <w:szCs w:val="24"/>
        </w:rPr>
        <w:t>в 2015-2017 годах</w:t>
      </w:r>
      <w:r>
        <w:rPr>
          <w:rFonts w:ascii="Times New Roman" w:hAnsi="Times New Roman"/>
          <w:sz w:val="24"/>
          <w:szCs w:val="24"/>
        </w:rPr>
        <w:t xml:space="preserve">, </w:t>
      </w:r>
      <w:r w:rsidRPr="00AA6C55">
        <w:rPr>
          <w:rFonts w:ascii="Times New Roman" w:hAnsi="Times New Roman"/>
          <w:sz w:val="24"/>
          <w:szCs w:val="24"/>
        </w:rPr>
        <w:t>исходя из среднего значения, рассчитанного по четырем годам, ежегодного прироста налогооблагаемой базы.</w:t>
      </w:r>
    </w:p>
    <w:p w:rsidR="00000921" w:rsidRDefault="00000921" w:rsidP="00000921">
      <w:pPr>
        <w:spacing w:after="0" w:line="240" w:lineRule="auto"/>
        <w:ind w:firstLine="709"/>
        <w:jc w:val="both"/>
        <w:rPr>
          <w:rFonts w:ascii="Times New Roman" w:hAnsi="Times New Roman"/>
          <w:sz w:val="24"/>
          <w:szCs w:val="24"/>
        </w:rPr>
      </w:pPr>
      <w:r w:rsidRPr="00096313">
        <w:rPr>
          <w:rFonts w:ascii="Times New Roman" w:hAnsi="Times New Roman"/>
          <w:sz w:val="24"/>
          <w:szCs w:val="24"/>
        </w:rPr>
        <w:t>Контрольно-счетная палата области отмечает</w:t>
      </w:r>
      <w:r>
        <w:rPr>
          <w:rFonts w:ascii="Times New Roman" w:hAnsi="Times New Roman"/>
          <w:sz w:val="24"/>
          <w:szCs w:val="24"/>
        </w:rPr>
        <w:t xml:space="preserve">, что начиная с 2013 года </w:t>
      </w:r>
      <w:r w:rsidRPr="00096313">
        <w:rPr>
          <w:rFonts w:ascii="Times New Roman" w:hAnsi="Times New Roman"/>
          <w:sz w:val="24"/>
          <w:szCs w:val="24"/>
        </w:rPr>
        <w:t>поступлени</w:t>
      </w:r>
      <w:r>
        <w:rPr>
          <w:rFonts w:ascii="Times New Roman" w:hAnsi="Times New Roman"/>
          <w:sz w:val="24"/>
          <w:szCs w:val="24"/>
        </w:rPr>
        <w:t xml:space="preserve">я </w:t>
      </w:r>
      <w:r>
        <w:rPr>
          <w:rFonts w:ascii="Times New Roman" w:hAnsi="Times New Roman"/>
          <w:sz w:val="24"/>
          <w:szCs w:val="24"/>
        </w:rPr>
        <w:br/>
        <w:t xml:space="preserve">по </w:t>
      </w:r>
      <w:r w:rsidRPr="00096313">
        <w:rPr>
          <w:rFonts w:ascii="Times New Roman" w:hAnsi="Times New Roman"/>
          <w:sz w:val="24"/>
          <w:szCs w:val="24"/>
        </w:rPr>
        <w:t>налог</w:t>
      </w:r>
      <w:r>
        <w:rPr>
          <w:rFonts w:ascii="Times New Roman" w:hAnsi="Times New Roman"/>
          <w:sz w:val="24"/>
          <w:szCs w:val="24"/>
        </w:rPr>
        <w:t>у</w:t>
      </w:r>
      <w:r w:rsidRPr="00096313">
        <w:rPr>
          <w:rFonts w:ascii="Times New Roman" w:hAnsi="Times New Roman"/>
          <w:sz w:val="24"/>
          <w:szCs w:val="24"/>
        </w:rPr>
        <w:t xml:space="preserve"> на прибыль</w:t>
      </w:r>
      <w:r>
        <w:rPr>
          <w:rFonts w:ascii="Times New Roman" w:hAnsi="Times New Roman"/>
          <w:sz w:val="24"/>
          <w:szCs w:val="24"/>
        </w:rPr>
        <w:t xml:space="preserve"> организаций </w:t>
      </w:r>
      <w:r w:rsidRPr="00096313">
        <w:rPr>
          <w:rFonts w:ascii="Times New Roman" w:hAnsi="Times New Roman"/>
          <w:sz w:val="24"/>
          <w:szCs w:val="24"/>
        </w:rPr>
        <w:t>в областной бюджет</w:t>
      </w:r>
      <w:r>
        <w:rPr>
          <w:rFonts w:ascii="Times New Roman" w:hAnsi="Times New Roman"/>
          <w:sz w:val="24"/>
          <w:szCs w:val="24"/>
        </w:rPr>
        <w:t xml:space="preserve"> снижаются</w:t>
      </w:r>
      <w:r w:rsidRPr="00096313">
        <w:rPr>
          <w:rFonts w:ascii="Times New Roman" w:hAnsi="Times New Roman"/>
          <w:sz w:val="24"/>
          <w:szCs w:val="24"/>
        </w:rPr>
        <w:t xml:space="preserve">. Так, </w:t>
      </w:r>
      <w:r>
        <w:rPr>
          <w:rFonts w:ascii="Times New Roman" w:hAnsi="Times New Roman"/>
          <w:sz w:val="24"/>
          <w:szCs w:val="24"/>
        </w:rPr>
        <w:t xml:space="preserve">по сравнению с 2012 годом объем поступлений в 2013 году снизился на 14,5 процента, по сравнению </w:t>
      </w:r>
      <w:r>
        <w:rPr>
          <w:rFonts w:ascii="Times New Roman" w:hAnsi="Times New Roman"/>
          <w:sz w:val="24"/>
          <w:szCs w:val="24"/>
        </w:rPr>
        <w:br/>
        <w:t xml:space="preserve">с 2011 годом – на 5,3 процента. Согласно оценке ожидаемого исполнения в 2014 году объем поступлений налога составит 8317955,0 тыс. рублей, что на 3,1 процента выше уровня поступлений 2013 года, однако на 1,2 процента ниже плановых назначений 2014 года. </w:t>
      </w:r>
      <w:r w:rsidRPr="00096313">
        <w:rPr>
          <w:rFonts w:ascii="Times New Roman" w:hAnsi="Times New Roman"/>
          <w:sz w:val="24"/>
          <w:szCs w:val="24"/>
        </w:rPr>
        <w:lastRenderedPageBreak/>
        <w:t>Поступлени</w:t>
      </w:r>
      <w:r>
        <w:rPr>
          <w:rFonts w:ascii="Times New Roman" w:hAnsi="Times New Roman"/>
          <w:sz w:val="24"/>
          <w:szCs w:val="24"/>
        </w:rPr>
        <w:t>я</w:t>
      </w:r>
      <w:r w:rsidRPr="00096313">
        <w:rPr>
          <w:rFonts w:ascii="Times New Roman" w:hAnsi="Times New Roman"/>
          <w:sz w:val="24"/>
          <w:szCs w:val="24"/>
        </w:rPr>
        <w:t xml:space="preserve"> налога на прибыль</w:t>
      </w:r>
      <w:r>
        <w:rPr>
          <w:rFonts w:ascii="Times New Roman" w:hAnsi="Times New Roman"/>
          <w:sz w:val="24"/>
          <w:szCs w:val="24"/>
        </w:rPr>
        <w:t xml:space="preserve"> за 2011-2014 годы </w:t>
      </w:r>
      <w:r w:rsidRPr="00096313">
        <w:rPr>
          <w:rFonts w:ascii="Times New Roman" w:hAnsi="Times New Roman"/>
          <w:sz w:val="24"/>
          <w:szCs w:val="24"/>
        </w:rPr>
        <w:t xml:space="preserve">представлены на </w:t>
      </w:r>
      <w:r>
        <w:rPr>
          <w:rFonts w:ascii="Times New Roman" w:hAnsi="Times New Roman"/>
          <w:sz w:val="24"/>
          <w:szCs w:val="24"/>
        </w:rPr>
        <w:br/>
      </w:r>
      <w:r w:rsidRPr="00A21115">
        <w:rPr>
          <w:rFonts w:ascii="Times New Roman" w:hAnsi="Times New Roman"/>
          <w:sz w:val="24"/>
          <w:szCs w:val="24"/>
        </w:rPr>
        <w:t>рисунке 1</w:t>
      </w:r>
      <w:r>
        <w:rPr>
          <w:rFonts w:ascii="Times New Roman" w:hAnsi="Times New Roman"/>
          <w:sz w:val="24"/>
          <w:szCs w:val="24"/>
        </w:rPr>
        <w:t>1</w:t>
      </w:r>
      <w:r w:rsidRPr="00A21115">
        <w:rPr>
          <w:rFonts w:ascii="Times New Roman" w:hAnsi="Times New Roman"/>
          <w:sz w:val="24"/>
          <w:szCs w:val="24"/>
        </w:rPr>
        <w:t>.</w:t>
      </w:r>
    </w:p>
    <w:p w:rsidR="00000921" w:rsidRDefault="00000921" w:rsidP="00000921">
      <w:pPr>
        <w:spacing w:after="0" w:line="240" w:lineRule="auto"/>
        <w:ind w:firstLine="709"/>
        <w:jc w:val="both"/>
        <w:rPr>
          <w:rFonts w:ascii="Times New Roman" w:hAnsi="Times New Roman"/>
          <w:sz w:val="24"/>
          <w:szCs w:val="24"/>
        </w:rPr>
      </w:pPr>
    </w:p>
    <w:p w:rsidR="00000921" w:rsidRPr="00A21115" w:rsidRDefault="00000921" w:rsidP="00000921">
      <w:pPr>
        <w:spacing w:after="0" w:line="240" w:lineRule="auto"/>
        <w:ind w:firstLine="709"/>
        <w:jc w:val="both"/>
        <w:rPr>
          <w:rFonts w:ascii="Times New Roman" w:hAnsi="Times New Roman"/>
          <w:sz w:val="24"/>
          <w:szCs w:val="24"/>
        </w:rPr>
      </w:pPr>
    </w:p>
    <w:p w:rsidR="00000921" w:rsidRPr="008E656B" w:rsidRDefault="00000921" w:rsidP="00000921">
      <w:pPr>
        <w:jc w:val="both"/>
        <w:rPr>
          <w:rFonts w:ascii="Times New Roman" w:hAnsi="Times New Roman"/>
          <w:sz w:val="28"/>
          <w:szCs w:val="28"/>
        </w:rPr>
      </w:pPr>
      <w:r w:rsidRPr="007C162F">
        <w:rPr>
          <w:rFonts w:ascii="Times New Roman" w:hAnsi="Times New Roman"/>
          <w:noProof/>
          <w:color w:val="00B0F0"/>
          <w:sz w:val="28"/>
          <w:szCs w:val="28"/>
        </w:rPr>
        <w:drawing>
          <wp:inline distT="0" distB="0" distL="0" distR="0" wp14:anchorId="30DA23CC" wp14:editId="3B9C03C7">
            <wp:extent cx="6119495" cy="32631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921" w:rsidRPr="00545B68" w:rsidRDefault="00000921" w:rsidP="00000921">
      <w:pPr>
        <w:ind w:firstLine="709"/>
        <w:jc w:val="center"/>
        <w:rPr>
          <w:rFonts w:ascii="Times New Roman" w:hAnsi="Times New Roman"/>
          <w:b/>
          <w:color w:val="000000"/>
          <w:sz w:val="24"/>
          <w:szCs w:val="24"/>
        </w:rPr>
      </w:pPr>
      <w:r w:rsidRPr="00E05620">
        <w:rPr>
          <w:rFonts w:ascii="Times New Roman" w:hAnsi="Times New Roman"/>
          <w:b/>
          <w:sz w:val="24"/>
          <w:szCs w:val="24"/>
        </w:rPr>
        <w:t>Рис. 1</w:t>
      </w:r>
      <w:r>
        <w:rPr>
          <w:rFonts w:ascii="Times New Roman" w:hAnsi="Times New Roman"/>
          <w:b/>
          <w:sz w:val="24"/>
          <w:szCs w:val="24"/>
        </w:rPr>
        <w:t>1</w:t>
      </w:r>
      <w:r w:rsidRPr="00E05620">
        <w:rPr>
          <w:rFonts w:ascii="Times New Roman" w:hAnsi="Times New Roman"/>
          <w:b/>
          <w:sz w:val="24"/>
          <w:szCs w:val="24"/>
        </w:rPr>
        <w:t xml:space="preserve"> -</w:t>
      </w:r>
      <w:r w:rsidRPr="00280754">
        <w:rPr>
          <w:rFonts w:ascii="Times New Roman" w:hAnsi="Times New Roman"/>
          <w:b/>
          <w:color w:val="FF0000"/>
          <w:sz w:val="24"/>
          <w:szCs w:val="24"/>
        </w:rPr>
        <w:t xml:space="preserve"> </w:t>
      </w:r>
      <w:r w:rsidRPr="003F2A62">
        <w:rPr>
          <w:rFonts w:ascii="Times New Roman" w:hAnsi="Times New Roman"/>
          <w:b/>
          <w:sz w:val="24"/>
          <w:szCs w:val="24"/>
        </w:rPr>
        <w:t xml:space="preserve">Поступления </w:t>
      </w:r>
      <w:r w:rsidRPr="00545B68">
        <w:rPr>
          <w:rFonts w:ascii="Times New Roman" w:hAnsi="Times New Roman"/>
          <w:b/>
          <w:sz w:val="24"/>
          <w:szCs w:val="24"/>
        </w:rPr>
        <w:t>налога на прибыль организаций</w:t>
      </w:r>
      <w:r>
        <w:rPr>
          <w:rFonts w:ascii="Times New Roman" w:hAnsi="Times New Roman"/>
          <w:b/>
          <w:sz w:val="24"/>
          <w:szCs w:val="24"/>
        </w:rPr>
        <w:t xml:space="preserve"> </w:t>
      </w:r>
      <w:r>
        <w:rPr>
          <w:rFonts w:ascii="Times New Roman" w:hAnsi="Times New Roman"/>
          <w:b/>
          <w:sz w:val="24"/>
          <w:szCs w:val="24"/>
        </w:rPr>
        <w:br/>
        <w:t>за 2011-2014 годы, млн. рублей</w:t>
      </w:r>
    </w:p>
    <w:p w:rsidR="00000921" w:rsidRDefault="00000921" w:rsidP="00000921">
      <w:pPr>
        <w:spacing w:after="0" w:line="240" w:lineRule="auto"/>
        <w:ind w:firstLine="709"/>
        <w:jc w:val="both"/>
        <w:rPr>
          <w:rFonts w:ascii="Times New Roman" w:hAnsi="Times New Roman"/>
          <w:sz w:val="24"/>
          <w:szCs w:val="24"/>
        </w:rPr>
      </w:pPr>
    </w:p>
    <w:p w:rsidR="00000921" w:rsidRDefault="00000921" w:rsidP="000009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Поступления в областной бюджет налога на прибыль организаций на 2015 год и плановый период 2016 и 2017 годов спрогнозированы по данным администратора доходов областного бюджета - </w:t>
      </w:r>
      <w:r w:rsidRPr="00AA6C55">
        <w:rPr>
          <w:rFonts w:ascii="Times New Roman" w:hAnsi="Times New Roman"/>
          <w:sz w:val="24"/>
          <w:szCs w:val="24"/>
        </w:rPr>
        <w:t>УФНС России по Амурской области</w:t>
      </w:r>
      <w:r>
        <w:rPr>
          <w:rFonts w:ascii="Times New Roman" w:hAnsi="Times New Roman"/>
          <w:sz w:val="24"/>
          <w:szCs w:val="24"/>
        </w:rPr>
        <w:t>.</w:t>
      </w:r>
    </w:p>
    <w:p w:rsidR="00000921" w:rsidRPr="00AA6C55" w:rsidRDefault="00000921" w:rsidP="00000921">
      <w:pPr>
        <w:spacing w:after="0" w:line="240" w:lineRule="auto"/>
        <w:ind w:firstLine="680"/>
        <w:jc w:val="both"/>
        <w:rPr>
          <w:rFonts w:ascii="Times New Roman" w:hAnsi="Times New Roman"/>
          <w:b/>
          <w:i/>
          <w:sz w:val="24"/>
          <w:szCs w:val="24"/>
        </w:rPr>
      </w:pPr>
      <w:r w:rsidRPr="00AA6C55">
        <w:rPr>
          <w:rFonts w:ascii="Times New Roman" w:hAnsi="Times New Roman"/>
          <w:b/>
          <w:i/>
          <w:sz w:val="24"/>
          <w:szCs w:val="24"/>
        </w:rPr>
        <w:t>Контрольно-счетная палата области считает прогноз поступлений налога на прибыль организаций на 2015 год в объеме 8647305,0 тыс. рублей обоснованным.</w:t>
      </w:r>
    </w:p>
    <w:p w:rsidR="00000921" w:rsidRPr="00E57E3E" w:rsidRDefault="00000921" w:rsidP="00000921">
      <w:pPr>
        <w:spacing w:after="0" w:line="240" w:lineRule="auto"/>
        <w:ind w:firstLine="680"/>
        <w:jc w:val="both"/>
        <w:rPr>
          <w:rFonts w:ascii="Times New Roman" w:hAnsi="Times New Roman"/>
          <w:b/>
          <w:sz w:val="24"/>
          <w:szCs w:val="24"/>
        </w:rPr>
      </w:pPr>
    </w:p>
    <w:p w:rsidR="00000921" w:rsidRPr="00545B68" w:rsidRDefault="00000921" w:rsidP="00000921">
      <w:pPr>
        <w:spacing w:after="0" w:line="240" w:lineRule="auto"/>
        <w:ind w:firstLine="680"/>
        <w:jc w:val="both"/>
        <w:rPr>
          <w:rFonts w:ascii="Times New Roman" w:hAnsi="Times New Roman"/>
          <w:b/>
          <w:sz w:val="24"/>
          <w:szCs w:val="24"/>
        </w:rPr>
      </w:pPr>
      <w:r w:rsidRPr="00545B68">
        <w:rPr>
          <w:rFonts w:ascii="Times New Roman" w:hAnsi="Times New Roman"/>
          <w:b/>
          <w:sz w:val="24"/>
          <w:szCs w:val="24"/>
        </w:rPr>
        <w:t>Налог на доходы физических лиц</w:t>
      </w:r>
    </w:p>
    <w:p w:rsidR="00000921" w:rsidRDefault="00000921" w:rsidP="00000921">
      <w:pPr>
        <w:spacing w:after="0" w:line="240" w:lineRule="auto"/>
        <w:ind w:firstLine="680"/>
        <w:jc w:val="both"/>
        <w:rPr>
          <w:rFonts w:ascii="Times New Roman" w:hAnsi="Times New Roman"/>
          <w:sz w:val="24"/>
          <w:szCs w:val="24"/>
        </w:rPr>
      </w:pPr>
      <w:r w:rsidRPr="00545B68">
        <w:rPr>
          <w:rFonts w:ascii="Times New Roman" w:hAnsi="Times New Roman"/>
          <w:sz w:val="24"/>
          <w:szCs w:val="24"/>
        </w:rPr>
        <w:t>Налог на доходы физических лиц в структуре налоговых</w:t>
      </w:r>
      <w:r>
        <w:rPr>
          <w:rFonts w:ascii="Times New Roman" w:hAnsi="Times New Roman"/>
          <w:sz w:val="24"/>
          <w:szCs w:val="24"/>
        </w:rPr>
        <w:t xml:space="preserve"> и</w:t>
      </w:r>
      <w:r w:rsidRPr="00545B68">
        <w:rPr>
          <w:rFonts w:ascii="Times New Roman" w:hAnsi="Times New Roman"/>
          <w:sz w:val="24"/>
          <w:szCs w:val="24"/>
        </w:rPr>
        <w:t xml:space="preserve"> неналоговых доходов составляет </w:t>
      </w:r>
      <w:r>
        <w:rPr>
          <w:rFonts w:ascii="Times New Roman" w:hAnsi="Times New Roman"/>
          <w:sz w:val="24"/>
          <w:szCs w:val="24"/>
        </w:rPr>
        <w:t>35</w:t>
      </w:r>
      <w:r w:rsidRPr="00545B68">
        <w:rPr>
          <w:rFonts w:ascii="Times New Roman" w:hAnsi="Times New Roman"/>
          <w:sz w:val="24"/>
          <w:szCs w:val="24"/>
        </w:rPr>
        <w:t>,</w:t>
      </w:r>
      <w:r>
        <w:rPr>
          <w:rFonts w:ascii="Times New Roman" w:hAnsi="Times New Roman"/>
          <w:sz w:val="24"/>
          <w:szCs w:val="24"/>
        </w:rPr>
        <w:t>9</w:t>
      </w:r>
      <w:r w:rsidRPr="00545B68">
        <w:rPr>
          <w:rFonts w:ascii="Times New Roman" w:hAnsi="Times New Roman"/>
          <w:sz w:val="24"/>
          <w:szCs w:val="24"/>
        </w:rPr>
        <w:t xml:space="preserve"> процента и прогнозируется </w:t>
      </w:r>
      <w:r>
        <w:rPr>
          <w:rFonts w:ascii="Times New Roman" w:hAnsi="Times New Roman"/>
          <w:sz w:val="24"/>
          <w:szCs w:val="24"/>
        </w:rPr>
        <w:t xml:space="preserve">на 2015 год </w:t>
      </w:r>
      <w:r w:rsidRPr="00545B68">
        <w:rPr>
          <w:rFonts w:ascii="Times New Roman" w:hAnsi="Times New Roman"/>
          <w:sz w:val="24"/>
          <w:szCs w:val="24"/>
        </w:rPr>
        <w:t>в объеме</w:t>
      </w:r>
      <w:r>
        <w:rPr>
          <w:rFonts w:ascii="Times New Roman" w:hAnsi="Times New Roman"/>
          <w:sz w:val="24"/>
          <w:szCs w:val="24"/>
        </w:rPr>
        <w:t xml:space="preserve"> 11108015,5 </w:t>
      </w:r>
      <w:r w:rsidRPr="00545B68">
        <w:rPr>
          <w:rFonts w:ascii="Times New Roman" w:hAnsi="Times New Roman"/>
          <w:sz w:val="24"/>
          <w:szCs w:val="24"/>
        </w:rPr>
        <w:t xml:space="preserve">тыс. рублей. Наблюдается ежегодная стабильная тенденция к увеличению поступлений налога. По сравнению с ожидаемой оценкой поступлений текущего года, </w:t>
      </w:r>
      <w:r>
        <w:rPr>
          <w:rFonts w:ascii="Times New Roman" w:hAnsi="Times New Roman"/>
          <w:sz w:val="24"/>
          <w:szCs w:val="24"/>
        </w:rPr>
        <w:t>при</w:t>
      </w:r>
      <w:r w:rsidRPr="00545B68">
        <w:rPr>
          <w:rFonts w:ascii="Times New Roman" w:hAnsi="Times New Roman"/>
          <w:sz w:val="24"/>
          <w:szCs w:val="24"/>
        </w:rPr>
        <w:t xml:space="preserve">рост налога прогнозируется в сумме </w:t>
      </w:r>
      <w:r>
        <w:rPr>
          <w:rFonts w:ascii="Times New Roman" w:hAnsi="Times New Roman"/>
          <w:sz w:val="24"/>
          <w:szCs w:val="24"/>
        </w:rPr>
        <w:t>562389,5</w:t>
      </w:r>
      <w:r w:rsidRPr="00545B68">
        <w:rPr>
          <w:rFonts w:ascii="Times New Roman" w:hAnsi="Times New Roman"/>
          <w:sz w:val="24"/>
          <w:szCs w:val="24"/>
        </w:rPr>
        <w:t xml:space="preserve"> тыс. рублей</w:t>
      </w:r>
      <w:r w:rsidR="008C67B1">
        <w:rPr>
          <w:rFonts w:ascii="Times New Roman" w:hAnsi="Times New Roman"/>
          <w:sz w:val="24"/>
          <w:szCs w:val="24"/>
        </w:rPr>
        <w:t>, или 5,3 процента.</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Поступления налога на доходы физических лиц за 2011-2017 годы представлены на </w:t>
      </w:r>
      <w:r w:rsidRPr="00E05620">
        <w:rPr>
          <w:rFonts w:ascii="Times New Roman" w:hAnsi="Times New Roman"/>
          <w:sz w:val="24"/>
          <w:szCs w:val="24"/>
        </w:rPr>
        <w:t>рисунке 1</w:t>
      </w:r>
      <w:r>
        <w:rPr>
          <w:rFonts w:ascii="Times New Roman" w:hAnsi="Times New Roman"/>
          <w:sz w:val="24"/>
          <w:szCs w:val="24"/>
        </w:rPr>
        <w:t>2</w:t>
      </w:r>
      <w:r w:rsidRPr="00E05620">
        <w:rPr>
          <w:rFonts w:ascii="Times New Roman" w:hAnsi="Times New Roman"/>
          <w:sz w:val="24"/>
          <w:szCs w:val="24"/>
        </w:rPr>
        <w:t>.</w:t>
      </w:r>
    </w:p>
    <w:p w:rsidR="000E7090" w:rsidRDefault="000E7090" w:rsidP="000E7090">
      <w:pPr>
        <w:spacing w:after="0" w:line="240" w:lineRule="auto"/>
        <w:ind w:firstLine="680"/>
        <w:jc w:val="both"/>
        <w:rPr>
          <w:rFonts w:ascii="Times New Roman" w:hAnsi="Times New Roman"/>
          <w:sz w:val="24"/>
          <w:szCs w:val="24"/>
        </w:rPr>
      </w:pPr>
      <w:r>
        <w:rPr>
          <w:rFonts w:ascii="Times New Roman" w:hAnsi="Times New Roman"/>
          <w:sz w:val="24"/>
          <w:szCs w:val="24"/>
        </w:rPr>
        <w:t>Расчет налога на доходы физических лиц на 2015 год произведен исходя из ожидаемой в 2014 году оценки налогооблагаемой базы и контингента налога в разрезе муниципальных образований области (поселений и городских округов) администратором доходов областного бюджета – УФНС России по Амурской области, увеличенной на темп роста фонда заработной платы – 103,3 процента в соответствии с прогнозом социально-экономического развития области на 2015 год и на период до 2017 года.</w:t>
      </w:r>
    </w:p>
    <w:p w:rsidR="000E7090" w:rsidRDefault="000E7090" w:rsidP="000E7090">
      <w:pPr>
        <w:spacing w:after="0" w:line="240" w:lineRule="auto"/>
        <w:ind w:firstLine="680"/>
        <w:jc w:val="both"/>
        <w:rPr>
          <w:rFonts w:ascii="Times New Roman" w:hAnsi="Times New Roman"/>
          <w:sz w:val="24"/>
          <w:szCs w:val="24"/>
        </w:rPr>
      </w:pPr>
      <w:r>
        <w:rPr>
          <w:rFonts w:ascii="Times New Roman" w:hAnsi="Times New Roman"/>
          <w:sz w:val="24"/>
          <w:szCs w:val="24"/>
        </w:rPr>
        <w:t>Объем поступлений по налогу на доходы физических лиц на 2016 год составляет 11969996,7 тыс. рублей, на 2017 год – 13049690,2 тыс. рублей.</w:t>
      </w:r>
    </w:p>
    <w:p w:rsidR="000E7090" w:rsidRPr="006346BB" w:rsidRDefault="000E7090" w:rsidP="000E7090">
      <w:pPr>
        <w:spacing w:after="0" w:line="240" w:lineRule="auto"/>
        <w:ind w:firstLine="680"/>
        <w:jc w:val="both"/>
        <w:rPr>
          <w:rFonts w:ascii="Times New Roman" w:hAnsi="Times New Roman"/>
          <w:sz w:val="24"/>
          <w:szCs w:val="24"/>
        </w:rPr>
      </w:pPr>
      <w:r w:rsidRPr="006346BB">
        <w:rPr>
          <w:rFonts w:ascii="Times New Roman" w:hAnsi="Times New Roman"/>
          <w:sz w:val="24"/>
          <w:szCs w:val="24"/>
        </w:rPr>
        <w:t xml:space="preserve">Расчет налога на 2016 год произведен путем индексации поступлений налога </w:t>
      </w:r>
      <w:r>
        <w:rPr>
          <w:rFonts w:ascii="Times New Roman" w:hAnsi="Times New Roman"/>
          <w:sz w:val="24"/>
          <w:szCs w:val="24"/>
        </w:rPr>
        <w:br/>
      </w:r>
      <w:r w:rsidRPr="006346BB">
        <w:rPr>
          <w:rFonts w:ascii="Times New Roman" w:hAnsi="Times New Roman"/>
          <w:sz w:val="24"/>
          <w:szCs w:val="24"/>
        </w:rPr>
        <w:t xml:space="preserve">2015 года на темп роста фонда заработной платы в 2016 году – 7,8 процента, на 2017 год – </w:t>
      </w:r>
      <w:r w:rsidRPr="006346BB">
        <w:rPr>
          <w:rFonts w:ascii="Times New Roman" w:hAnsi="Times New Roman"/>
          <w:sz w:val="24"/>
          <w:szCs w:val="24"/>
        </w:rPr>
        <w:lastRenderedPageBreak/>
        <w:t>путем индексации поступлений налога в 2016 году на темп роста фонда заработной платы – 9,0 процентов  в соответствии с прогнозом социально- экономического развития области.</w:t>
      </w:r>
    </w:p>
    <w:p w:rsidR="000E7090" w:rsidRPr="00E05620" w:rsidRDefault="000E7090" w:rsidP="00000921">
      <w:pPr>
        <w:spacing w:after="0" w:line="240" w:lineRule="auto"/>
        <w:ind w:firstLine="680"/>
        <w:jc w:val="both"/>
        <w:rPr>
          <w:rFonts w:ascii="Times New Roman" w:hAnsi="Times New Roman"/>
          <w:sz w:val="24"/>
          <w:szCs w:val="24"/>
        </w:rPr>
      </w:pPr>
    </w:p>
    <w:p w:rsidR="00000921" w:rsidRDefault="00000921" w:rsidP="00000921">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1BAE7B72" wp14:editId="0FC29591">
            <wp:extent cx="6162675" cy="32004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0921" w:rsidRPr="00AF486A" w:rsidRDefault="00000921" w:rsidP="00000921">
      <w:pPr>
        <w:spacing w:after="0" w:line="240" w:lineRule="auto"/>
        <w:ind w:firstLine="680"/>
        <w:jc w:val="center"/>
        <w:rPr>
          <w:rFonts w:ascii="Times New Roman" w:hAnsi="Times New Roman"/>
          <w:b/>
          <w:sz w:val="24"/>
          <w:szCs w:val="24"/>
        </w:rPr>
      </w:pPr>
      <w:r w:rsidRPr="00E17306">
        <w:rPr>
          <w:rFonts w:ascii="Times New Roman" w:hAnsi="Times New Roman"/>
          <w:b/>
          <w:sz w:val="24"/>
          <w:szCs w:val="24"/>
        </w:rPr>
        <w:t>Рис. 1</w:t>
      </w:r>
      <w:r>
        <w:rPr>
          <w:rFonts w:ascii="Times New Roman" w:hAnsi="Times New Roman"/>
          <w:b/>
          <w:sz w:val="24"/>
          <w:szCs w:val="24"/>
        </w:rPr>
        <w:t>2</w:t>
      </w:r>
      <w:r w:rsidRPr="00E17306">
        <w:rPr>
          <w:rFonts w:ascii="Times New Roman" w:hAnsi="Times New Roman"/>
          <w:b/>
          <w:sz w:val="24"/>
          <w:szCs w:val="24"/>
        </w:rPr>
        <w:t xml:space="preserve"> </w:t>
      </w:r>
      <w:r w:rsidRPr="00C235E8">
        <w:rPr>
          <w:rFonts w:ascii="Times New Roman" w:hAnsi="Times New Roman"/>
          <w:b/>
          <w:sz w:val="24"/>
          <w:szCs w:val="24"/>
        </w:rPr>
        <w:t>-</w:t>
      </w:r>
      <w:r w:rsidRPr="00C235E8">
        <w:rPr>
          <w:rFonts w:ascii="Times New Roman" w:hAnsi="Times New Roman"/>
          <w:sz w:val="24"/>
          <w:szCs w:val="24"/>
        </w:rPr>
        <w:t xml:space="preserve"> </w:t>
      </w:r>
      <w:r w:rsidRPr="00AF486A">
        <w:rPr>
          <w:rFonts w:ascii="Times New Roman" w:hAnsi="Times New Roman"/>
          <w:b/>
          <w:sz w:val="24"/>
          <w:szCs w:val="24"/>
        </w:rPr>
        <w:t xml:space="preserve">Поступления налога на доходы физических лиц за </w:t>
      </w:r>
      <w:r>
        <w:rPr>
          <w:rFonts w:ascii="Times New Roman" w:hAnsi="Times New Roman"/>
          <w:b/>
          <w:sz w:val="24"/>
          <w:szCs w:val="24"/>
        </w:rPr>
        <w:br/>
        <w:t>2011-2017 годы (</w:t>
      </w:r>
      <w:r w:rsidRPr="00AF486A">
        <w:rPr>
          <w:rFonts w:ascii="Times New Roman" w:hAnsi="Times New Roman"/>
          <w:b/>
          <w:sz w:val="24"/>
          <w:szCs w:val="24"/>
        </w:rPr>
        <w:t>млн.</w:t>
      </w:r>
      <w:r>
        <w:rPr>
          <w:rFonts w:ascii="Times New Roman" w:hAnsi="Times New Roman"/>
          <w:b/>
          <w:sz w:val="24"/>
          <w:szCs w:val="24"/>
        </w:rPr>
        <w:t xml:space="preserve"> </w:t>
      </w:r>
      <w:r w:rsidRPr="00AF486A">
        <w:rPr>
          <w:rFonts w:ascii="Times New Roman" w:hAnsi="Times New Roman"/>
          <w:b/>
          <w:sz w:val="24"/>
          <w:szCs w:val="24"/>
        </w:rPr>
        <w:t>рублей</w:t>
      </w:r>
      <w:r>
        <w:rPr>
          <w:rFonts w:ascii="Times New Roman" w:hAnsi="Times New Roman"/>
          <w:b/>
          <w:sz w:val="24"/>
          <w:szCs w:val="24"/>
        </w:rPr>
        <w:t>)</w:t>
      </w:r>
    </w:p>
    <w:p w:rsidR="00000921" w:rsidRPr="00AF486A" w:rsidRDefault="00000921" w:rsidP="00000921">
      <w:pPr>
        <w:spacing w:after="0" w:line="240" w:lineRule="auto"/>
        <w:ind w:firstLine="680"/>
        <w:jc w:val="center"/>
        <w:rPr>
          <w:rFonts w:ascii="Times New Roman" w:hAnsi="Times New Roman"/>
          <w:b/>
          <w:sz w:val="24"/>
          <w:szCs w:val="24"/>
        </w:rPr>
      </w:pPr>
    </w:p>
    <w:p w:rsidR="00000921" w:rsidRPr="0014267A" w:rsidRDefault="00000921" w:rsidP="00000921">
      <w:pPr>
        <w:spacing w:after="0" w:line="240" w:lineRule="auto"/>
        <w:ind w:firstLine="680"/>
        <w:jc w:val="both"/>
        <w:rPr>
          <w:rFonts w:ascii="Times New Roman" w:hAnsi="Times New Roman"/>
          <w:sz w:val="24"/>
          <w:szCs w:val="24"/>
        </w:rPr>
      </w:pPr>
      <w:r w:rsidRPr="004102A4">
        <w:rPr>
          <w:rFonts w:ascii="Times New Roman" w:hAnsi="Times New Roman"/>
          <w:sz w:val="24"/>
          <w:szCs w:val="24"/>
        </w:rPr>
        <w:t xml:space="preserve">Приложением № </w:t>
      </w:r>
      <w:r>
        <w:rPr>
          <w:rFonts w:ascii="Times New Roman" w:hAnsi="Times New Roman"/>
          <w:sz w:val="24"/>
          <w:szCs w:val="24"/>
        </w:rPr>
        <w:t>2</w:t>
      </w:r>
      <w:r w:rsidRPr="004102A4">
        <w:rPr>
          <w:rFonts w:ascii="Times New Roman" w:hAnsi="Times New Roman"/>
          <w:sz w:val="24"/>
          <w:szCs w:val="24"/>
        </w:rPr>
        <w:t xml:space="preserve"> к</w:t>
      </w:r>
      <w:r>
        <w:rPr>
          <w:rFonts w:ascii="Times New Roman" w:hAnsi="Times New Roman"/>
          <w:sz w:val="24"/>
          <w:szCs w:val="24"/>
        </w:rPr>
        <w:t xml:space="preserve"> законопроекту 27 муниципальным образованиям области на 2015-2017 годы </w:t>
      </w:r>
      <w:r w:rsidRPr="00545B68">
        <w:rPr>
          <w:rFonts w:ascii="Times New Roman" w:hAnsi="Times New Roman"/>
          <w:sz w:val="24"/>
          <w:szCs w:val="24"/>
        </w:rPr>
        <w:t>устанавливаются дополнительные нормативы отчислений</w:t>
      </w:r>
      <w:r>
        <w:rPr>
          <w:rFonts w:ascii="Times New Roman" w:hAnsi="Times New Roman"/>
          <w:sz w:val="24"/>
          <w:szCs w:val="24"/>
        </w:rPr>
        <w:t xml:space="preserve"> в бюджеты муниципальных районов (городских округов) </w:t>
      </w:r>
      <w:r w:rsidRPr="00545B68">
        <w:rPr>
          <w:rFonts w:ascii="Times New Roman" w:hAnsi="Times New Roman"/>
          <w:sz w:val="24"/>
          <w:szCs w:val="24"/>
        </w:rPr>
        <w:t>от налога на доходы физических лиц,</w:t>
      </w:r>
      <w:r>
        <w:rPr>
          <w:rFonts w:ascii="Times New Roman" w:hAnsi="Times New Roman"/>
          <w:sz w:val="24"/>
          <w:szCs w:val="24"/>
        </w:rPr>
        <w:t xml:space="preserve">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sidRPr="00545B68">
        <w:rPr>
          <w:rFonts w:ascii="Times New Roman" w:hAnsi="Times New Roman"/>
          <w:sz w:val="24"/>
          <w:szCs w:val="24"/>
        </w:rPr>
        <w:t>, взамен дотации на выравнивание уровня бюджетной обеспеченности</w:t>
      </w:r>
      <w:r w:rsidRPr="0014267A">
        <w:rPr>
          <w:rFonts w:ascii="Times New Roman" w:hAnsi="Times New Roman"/>
          <w:sz w:val="24"/>
          <w:szCs w:val="24"/>
        </w:rPr>
        <w:t xml:space="preserve">. Расчетная сумма налога, подлежащего замене, на 2015 год составила 1733602,1 тыс. рублей, на 2016 год –1884570,9 тыс. рублей, </w:t>
      </w:r>
      <w:r w:rsidRPr="0014267A">
        <w:rPr>
          <w:rFonts w:ascii="Times New Roman" w:hAnsi="Times New Roman"/>
          <w:sz w:val="24"/>
          <w:szCs w:val="24"/>
        </w:rPr>
        <w:br/>
        <w:t>на 2017 год – 1926687,1 тыс. рублей.</w:t>
      </w:r>
    </w:p>
    <w:p w:rsidR="00000921" w:rsidRPr="00A520B3"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Приложением № 3 к законопроекту двум муниципальным образованиям области – Мазановский, Ромненский районы на 2015-2017 годы устанавливаются дополнительные нормативы отчислений в бюджеты муниципальных районов (городских округов)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взамен дотации на выравнивание уровня бюджетной обеспеченности. </w:t>
      </w:r>
      <w:r w:rsidRPr="00A520B3">
        <w:rPr>
          <w:rFonts w:ascii="Times New Roman" w:hAnsi="Times New Roman"/>
          <w:sz w:val="24"/>
          <w:szCs w:val="24"/>
        </w:rPr>
        <w:t>Расчетная сумма налога, подлежащего замене</w:t>
      </w:r>
      <w:r>
        <w:rPr>
          <w:rFonts w:ascii="Times New Roman" w:hAnsi="Times New Roman"/>
          <w:sz w:val="24"/>
          <w:szCs w:val="24"/>
        </w:rPr>
        <w:t xml:space="preserve">, </w:t>
      </w:r>
      <w:r w:rsidRPr="00A520B3">
        <w:rPr>
          <w:rFonts w:ascii="Times New Roman" w:hAnsi="Times New Roman"/>
          <w:sz w:val="24"/>
          <w:szCs w:val="24"/>
        </w:rPr>
        <w:t xml:space="preserve">на </w:t>
      </w:r>
      <w:r w:rsidRPr="00A520B3">
        <w:rPr>
          <w:rFonts w:ascii="Times New Roman" w:hAnsi="Times New Roman"/>
          <w:sz w:val="24"/>
          <w:szCs w:val="24"/>
        </w:rPr>
        <w:br/>
        <w:t>2015 год составила 13,3 тыс. рублей, на 2016 год</w:t>
      </w:r>
      <w:r>
        <w:rPr>
          <w:rFonts w:ascii="Times New Roman" w:hAnsi="Times New Roman"/>
          <w:sz w:val="24"/>
          <w:szCs w:val="24"/>
        </w:rPr>
        <w:t xml:space="preserve"> </w:t>
      </w:r>
      <w:r w:rsidRPr="00A520B3">
        <w:rPr>
          <w:rFonts w:ascii="Times New Roman" w:hAnsi="Times New Roman"/>
          <w:sz w:val="24"/>
          <w:szCs w:val="24"/>
        </w:rPr>
        <w:t>- 14,3 тыс. рублей, на 2017 год – 23,0 тыс. рублей.</w:t>
      </w:r>
    </w:p>
    <w:p w:rsidR="00000921" w:rsidRPr="00350A56" w:rsidRDefault="00000921" w:rsidP="00000921">
      <w:pPr>
        <w:spacing w:after="0" w:line="240" w:lineRule="auto"/>
        <w:ind w:firstLine="680"/>
        <w:jc w:val="both"/>
        <w:rPr>
          <w:rFonts w:ascii="Times New Roman" w:hAnsi="Times New Roman"/>
          <w:b/>
          <w:i/>
          <w:sz w:val="24"/>
          <w:szCs w:val="24"/>
        </w:rPr>
      </w:pPr>
      <w:r w:rsidRPr="00350A56">
        <w:rPr>
          <w:rFonts w:ascii="Times New Roman" w:hAnsi="Times New Roman"/>
          <w:b/>
          <w:i/>
          <w:sz w:val="24"/>
          <w:szCs w:val="24"/>
        </w:rPr>
        <w:t>Контрольно-счетная палата области считает прогноз поступлений налога на доходы физических лиц на 2015 год в объеме 11108015,5 тыс. рублей обоснованным.</w:t>
      </w:r>
    </w:p>
    <w:p w:rsidR="00000921" w:rsidRPr="004E0450" w:rsidRDefault="00000921" w:rsidP="00000921">
      <w:pPr>
        <w:spacing w:after="0" w:line="240" w:lineRule="auto"/>
        <w:ind w:firstLine="680"/>
        <w:jc w:val="both"/>
        <w:rPr>
          <w:rFonts w:ascii="Times New Roman" w:hAnsi="Times New Roman"/>
          <w:b/>
          <w:sz w:val="24"/>
          <w:szCs w:val="24"/>
        </w:rPr>
      </w:pPr>
      <w:r w:rsidRPr="004E0450">
        <w:rPr>
          <w:rFonts w:ascii="Times New Roman" w:hAnsi="Times New Roman"/>
          <w:b/>
          <w:sz w:val="24"/>
          <w:szCs w:val="24"/>
        </w:rPr>
        <w:t>Акцизы</w:t>
      </w:r>
    </w:p>
    <w:p w:rsidR="00000921" w:rsidRPr="00795C01" w:rsidRDefault="00000921" w:rsidP="00000921">
      <w:pPr>
        <w:spacing w:after="0" w:line="240" w:lineRule="auto"/>
        <w:ind w:firstLine="680"/>
        <w:jc w:val="both"/>
        <w:rPr>
          <w:rFonts w:ascii="Times New Roman" w:hAnsi="Times New Roman"/>
          <w:sz w:val="24"/>
          <w:szCs w:val="24"/>
        </w:rPr>
      </w:pPr>
      <w:r w:rsidRPr="00795C01">
        <w:rPr>
          <w:rFonts w:ascii="Times New Roman" w:hAnsi="Times New Roman"/>
          <w:sz w:val="24"/>
          <w:szCs w:val="24"/>
        </w:rPr>
        <w:t xml:space="preserve">Проектом бюджета общий </w:t>
      </w:r>
      <w:r w:rsidRPr="002061D1">
        <w:rPr>
          <w:rFonts w:ascii="Times New Roman" w:hAnsi="Times New Roman"/>
          <w:sz w:val="24"/>
          <w:szCs w:val="24"/>
        </w:rPr>
        <w:t>объем поступлени</w:t>
      </w:r>
      <w:r>
        <w:rPr>
          <w:rFonts w:ascii="Times New Roman" w:hAnsi="Times New Roman"/>
          <w:sz w:val="24"/>
          <w:szCs w:val="24"/>
        </w:rPr>
        <w:t>й</w:t>
      </w:r>
      <w:r w:rsidRPr="002061D1">
        <w:rPr>
          <w:rFonts w:ascii="Times New Roman" w:hAnsi="Times New Roman"/>
          <w:sz w:val="24"/>
          <w:szCs w:val="24"/>
        </w:rPr>
        <w:t xml:space="preserve"> </w:t>
      </w:r>
      <w:r w:rsidRPr="00795C01">
        <w:rPr>
          <w:rFonts w:ascii="Times New Roman" w:hAnsi="Times New Roman"/>
          <w:sz w:val="24"/>
          <w:szCs w:val="24"/>
        </w:rPr>
        <w:t>акцизов по подакцизным товарам (продукции), производимым на территории Российской Федерации</w:t>
      </w:r>
      <w:r>
        <w:rPr>
          <w:rFonts w:ascii="Times New Roman" w:hAnsi="Times New Roman"/>
          <w:sz w:val="24"/>
          <w:szCs w:val="24"/>
        </w:rPr>
        <w:t>,</w:t>
      </w:r>
      <w:r w:rsidRPr="00795C01">
        <w:rPr>
          <w:rFonts w:ascii="Times New Roman" w:hAnsi="Times New Roman"/>
          <w:sz w:val="24"/>
          <w:szCs w:val="24"/>
        </w:rPr>
        <w:t xml:space="preserve"> прогнозиру</w:t>
      </w:r>
      <w:r>
        <w:rPr>
          <w:rFonts w:ascii="Times New Roman" w:hAnsi="Times New Roman"/>
          <w:sz w:val="24"/>
          <w:szCs w:val="24"/>
        </w:rPr>
        <w:t>е</w:t>
      </w:r>
      <w:r w:rsidRPr="00795C01">
        <w:rPr>
          <w:rFonts w:ascii="Times New Roman" w:hAnsi="Times New Roman"/>
          <w:sz w:val="24"/>
          <w:szCs w:val="24"/>
        </w:rPr>
        <w:t xml:space="preserve">тся на </w:t>
      </w:r>
      <w:r>
        <w:rPr>
          <w:rFonts w:ascii="Times New Roman" w:hAnsi="Times New Roman"/>
          <w:sz w:val="24"/>
          <w:szCs w:val="24"/>
        </w:rPr>
        <w:br/>
      </w:r>
      <w:r w:rsidRPr="00795C01">
        <w:rPr>
          <w:rFonts w:ascii="Times New Roman" w:hAnsi="Times New Roman"/>
          <w:sz w:val="24"/>
          <w:szCs w:val="24"/>
        </w:rPr>
        <w:t>201</w:t>
      </w:r>
      <w:r>
        <w:rPr>
          <w:rFonts w:ascii="Times New Roman" w:hAnsi="Times New Roman"/>
          <w:sz w:val="24"/>
          <w:szCs w:val="24"/>
        </w:rPr>
        <w:t>5</w:t>
      </w:r>
      <w:r w:rsidRPr="00795C01">
        <w:rPr>
          <w:rFonts w:ascii="Times New Roman" w:hAnsi="Times New Roman"/>
          <w:sz w:val="24"/>
          <w:szCs w:val="24"/>
        </w:rPr>
        <w:t xml:space="preserve"> год в сумме </w:t>
      </w:r>
      <w:r>
        <w:rPr>
          <w:rFonts w:ascii="Times New Roman" w:hAnsi="Times New Roman"/>
          <w:sz w:val="24"/>
          <w:szCs w:val="24"/>
        </w:rPr>
        <w:t>1565073,0</w:t>
      </w:r>
      <w:r w:rsidRPr="00795C01">
        <w:rPr>
          <w:rFonts w:ascii="Times New Roman" w:hAnsi="Times New Roman"/>
          <w:sz w:val="24"/>
          <w:szCs w:val="24"/>
        </w:rPr>
        <w:t xml:space="preserve"> тыс. рублей, на 201</w:t>
      </w:r>
      <w:r>
        <w:rPr>
          <w:rFonts w:ascii="Times New Roman" w:hAnsi="Times New Roman"/>
          <w:sz w:val="24"/>
          <w:szCs w:val="24"/>
        </w:rPr>
        <w:t>6</w:t>
      </w:r>
      <w:r w:rsidRPr="00795C01">
        <w:rPr>
          <w:rFonts w:ascii="Times New Roman" w:hAnsi="Times New Roman"/>
          <w:sz w:val="24"/>
          <w:szCs w:val="24"/>
        </w:rPr>
        <w:t xml:space="preserve"> год </w:t>
      </w:r>
      <w:r>
        <w:rPr>
          <w:rFonts w:ascii="Times New Roman" w:hAnsi="Times New Roman"/>
          <w:sz w:val="24"/>
          <w:szCs w:val="24"/>
        </w:rPr>
        <w:t>–</w:t>
      </w:r>
      <w:r w:rsidRPr="00795C01">
        <w:rPr>
          <w:rFonts w:ascii="Times New Roman" w:hAnsi="Times New Roman"/>
          <w:sz w:val="24"/>
          <w:szCs w:val="24"/>
        </w:rPr>
        <w:t xml:space="preserve"> </w:t>
      </w:r>
      <w:r>
        <w:rPr>
          <w:rFonts w:ascii="Times New Roman" w:hAnsi="Times New Roman"/>
          <w:sz w:val="24"/>
          <w:szCs w:val="24"/>
        </w:rPr>
        <w:t>1476933,0</w:t>
      </w:r>
      <w:r w:rsidRPr="00795C01">
        <w:rPr>
          <w:rFonts w:ascii="Times New Roman" w:hAnsi="Times New Roman"/>
          <w:sz w:val="24"/>
          <w:szCs w:val="24"/>
        </w:rPr>
        <w:t xml:space="preserve"> тыс. рублей, на 201</w:t>
      </w:r>
      <w:r>
        <w:rPr>
          <w:rFonts w:ascii="Times New Roman" w:hAnsi="Times New Roman"/>
          <w:sz w:val="24"/>
          <w:szCs w:val="24"/>
        </w:rPr>
        <w:t>7</w:t>
      </w:r>
      <w:r w:rsidRPr="00795C01">
        <w:rPr>
          <w:rFonts w:ascii="Times New Roman" w:hAnsi="Times New Roman"/>
          <w:sz w:val="24"/>
          <w:szCs w:val="24"/>
        </w:rPr>
        <w:t xml:space="preserve"> год – </w:t>
      </w:r>
      <w:r w:rsidRPr="00795C01">
        <w:rPr>
          <w:rFonts w:ascii="Times New Roman" w:hAnsi="Times New Roman"/>
          <w:sz w:val="24"/>
          <w:szCs w:val="24"/>
        </w:rPr>
        <w:br/>
      </w:r>
      <w:r>
        <w:rPr>
          <w:rFonts w:ascii="Times New Roman" w:hAnsi="Times New Roman"/>
          <w:sz w:val="24"/>
          <w:szCs w:val="24"/>
        </w:rPr>
        <w:t>1407299,0</w:t>
      </w:r>
      <w:r w:rsidRPr="00795C01">
        <w:rPr>
          <w:rFonts w:ascii="Times New Roman" w:hAnsi="Times New Roman"/>
          <w:sz w:val="24"/>
          <w:szCs w:val="24"/>
        </w:rPr>
        <w:t xml:space="preserve"> тыс. рублей.</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Р</w:t>
      </w:r>
      <w:r w:rsidRPr="00B83088">
        <w:rPr>
          <w:rFonts w:ascii="Times New Roman" w:hAnsi="Times New Roman"/>
          <w:sz w:val="24"/>
          <w:szCs w:val="24"/>
        </w:rPr>
        <w:t xml:space="preserve">асчет </w:t>
      </w:r>
      <w:r>
        <w:rPr>
          <w:rFonts w:ascii="Times New Roman" w:hAnsi="Times New Roman"/>
          <w:sz w:val="24"/>
          <w:szCs w:val="24"/>
        </w:rPr>
        <w:t xml:space="preserve">прогноза </w:t>
      </w:r>
      <w:r w:rsidRPr="00B83088">
        <w:rPr>
          <w:rFonts w:ascii="Times New Roman" w:hAnsi="Times New Roman"/>
          <w:sz w:val="24"/>
          <w:szCs w:val="24"/>
        </w:rPr>
        <w:t>акцизов на пиво произведен</w:t>
      </w:r>
      <w:r w:rsidRPr="008D4C60">
        <w:rPr>
          <w:rFonts w:ascii="Times New Roman" w:hAnsi="Times New Roman"/>
          <w:sz w:val="24"/>
          <w:szCs w:val="24"/>
        </w:rPr>
        <w:t xml:space="preserve">, </w:t>
      </w:r>
      <w:r w:rsidRPr="00B83088">
        <w:rPr>
          <w:rFonts w:ascii="Times New Roman" w:hAnsi="Times New Roman"/>
          <w:sz w:val="24"/>
          <w:szCs w:val="24"/>
        </w:rPr>
        <w:t xml:space="preserve">исходя из ожидаемых объемов производства пива </w:t>
      </w:r>
      <w:r>
        <w:rPr>
          <w:rFonts w:ascii="Times New Roman" w:hAnsi="Times New Roman"/>
          <w:sz w:val="24"/>
          <w:szCs w:val="24"/>
        </w:rPr>
        <w:t>в соответствии с прогнозом социально-экономического развития области на 2015 год и на период до 2017 года, с учетом повышения ставок акцизов</w:t>
      </w:r>
      <w:r w:rsidRPr="00B83088">
        <w:rPr>
          <w:rFonts w:ascii="Times New Roman" w:hAnsi="Times New Roman"/>
          <w:sz w:val="24"/>
          <w:szCs w:val="24"/>
        </w:rPr>
        <w:t>. Объем поступлений акцизов на пиво прогнозируется на 201</w:t>
      </w:r>
      <w:r>
        <w:rPr>
          <w:rFonts w:ascii="Times New Roman" w:hAnsi="Times New Roman"/>
          <w:sz w:val="24"/>
          <w:szCs w:val="24"/>
        </w:rPr>
        <w:t>5 год в сумме 5756,0 тыс. рублей</w:t>
      </w:r>
      <w:r w:rsidRPr="00B83088">
        <w:rPr>
          <w:rFonts w:ascii="Times New Roman" w:hAnsi="Times New Roman"/>
          <w:sz w:val="24"/>
          <w:szCs w:val="24"/>
        </w:rPr>
        <w:t>,</w:t>
      </w:r>
      <w:r>
        <w:rPr>
          <w:rFonts w:ascii="Times New Roman" w:hAnsi="Times New Roman"/>
          <w:sz w:val="24"/>
          <w:szCs w:val="24"/>
        </w:rPr>
        <w:t xml:space="preserve"> что </w:t>
      </w:r>
      <w:r>
        <w:rPr>
          <w:rFonts w:ascii="Times New Roman" w:hAnsi="Times New Roman"/>
          <w:sz w:val="24"/>
          <w:szCs w:val="24"/>
        </w:rPr>
        <w:lastRenderedPageBreak/>
        <w:t xml:space="preserve">выше ожидаемого поступления 2014 года на 3,4 процента, однако ниже плановых назначений 2014 года на 51,7 процента. Плановые назначения по акцизам на пиво </w:t>
      </w:r>
      <w:r>
        <w:rPr>
          <w:rFonts w:ascii="Times New Roman" w:hAnsi="Times New Roman"/>
          <w:sz w:val="24"/>
          <w:szCs w:val="24"/>
        </w:rPr>
        <w:br/>
        <w:t xml:space="preserve">на 2014 год составляют 11923,0 тыс. рублей, оценка ожидаемых поступлений за 2014 год – </w:t>
      </w:r>
      <w:r>
        <w:rPr>
          <w:rFonts w:ascii="Times New Roman" w:hAnsi="Times New Roman"/>
          <w:sz w:val="24"/>
          <w:szCs w:val="24"/>
        </w:rPr>
        <w:br/>
        <w:t>5566,4 тыс. рублей. Снижение поступлений акцизов на пиво обусловлено прекращением в 2014 году деятельности по производству пива ООО «Хуа-Син».</w:t>
      </w:r>
    </w:p>
    <w:p w:rsidR="00000921" w:rsidRPr="00B83088"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Прогноз поступлений акцизов</w:t>
      </w:r>
      <w:r w:rsidRPr="00B83088">
        <w:rPr>
          <w:rFonts w:ascii="Times New Roman" w:hAnsi="Times New Roman"/>
          <w:sz w:val="24"/>
          <w:szCs w:val="24"/>
        </w:rPr>
        <w:t xml:space="preserve"> </w:t>
      </w:r>
      <w:r>
        <w:rPr>
          <w:rFonts w:ascii="Times New Roman" w:hAnsi="Times New Roman"/>
          <w:sz w:val="24"/>
          <w:szCs w:val="24"/>
        </w:rPr>
        <w:t>на пиво на 2016 год составляет 6033,0 тыс. рублей, на</w:t>
      </w:r>
      <w:r>
        <w:rPr>
          <w:rFonts w:ascii="Times New Roman" w:hAnsi="Times New Roman"/>
          <w:sz w:val="24"/>
          <w:szCs w:val="24"/>
        </w:rPr>
        <w:br/>
        <w:t>2017 год – 6298,0 тыс. рублей.</w:t>
      </w:r>
    </w:p>
    <w:p w:rsidR="00000921" w:rsidRPr="0078768A" w:rsidRDefault="00000921" w:rsidP="00000921">
      <w:pPr>
        <w:spacing w:after="0" w:line="240" w:lineRule="auto"/>
        <w:ind w:firstLine="680"/>
        <w:jc w:val="both"/>
        <w:rPr>
          <w:rFonts w:ascii="Times New Roman" w:hAnsi="Times New Roman"/>
          <w:sz w:val="24"/>
          <w:szCs w:val="24"/>
        </w:rPr>
      </w:pPr>
      <w:r w:rsidRPr="0078768A">
        <w:rPr>
          <w:rFonts w:ascii="Times New Roman" w:hAnsi="Times New Roman"/>
          <w:sz w:val="24"/>
          <w:szCs w:val="24"/>
        </w:rPr>
        <w:t>По данным администратора доходов - УФНС России по Амурской области прогноз поступлений акцизов на пиво на 2015 год составляет 6598,0 тыс. рублей, на 2016-2017 годы -7114,0 тыс. рублей ежегодно. Поступления акцизов на пиво в областной бюджет на 2015 год и плановый период 2016 и 2017 годов спрогнозированы администратором доходов исходя из ожидаемых объемов производства пива на основании данных, полученных от налогоплательщиков, с учетом ставки, установленной Налоговым</w:t>
      </w:r>
      <w:r w:rsidR="007E174C">
        <w:rPr>
          <w:rFonts w:ascii="Times New Roman" w:hAnsi="Times New Roman"/>
          <w:sz w:val="24"/>
          <w:szCs w:val="24"/>
        </w:rPr>
        <w:t xml:space="preserve"> кодексом Российской Федерации.</w:t>
      </w:r>
    </w:p>
    <w:p w:rsidR="00000921" w:rsidRDefault="00000921" w:rsidP="00000921">
      <w:pPr>
        <w:spacing w:after="0" w:line="240" w:lineRule="auto"/>
        <w:ind w:firstLine="680"/>
        <w:jc w:val="both"/>
        <w:rPr>
          <w:rFonts w:ascii="Times New Roman" w:hAnsi="Times New Roman"/>
          <w:sz w:val="24"/>
          <w:szCs w:val="24"/>
        </w:rPr>
      </w:pPr>
      <w:r w:rsidRPr="00C93B55">
        <w:rPr>
          <w:rFonts w:ascii="Times New Roman" w:hAnsi="Times New Roman"/>
          <w:sz w:val="24"/>
          <w:szCs w:val="24"/>
        </w:rPr>
        <w:t>Акцизы на нефтепродукты, поступающие</w:t>
      </w:r>
      <w:r w:rsidRPr="00F15F8C">
        <w:rPr>
          <w:rFonts w:ascii="Times New Roman" w:hAnsi="Times New Roman"/>
          <w:sz w:val="24"/>
          <w:szCs w:val="24"/>
        </w:rPr>
        <w:t xml:space="preserve"> из их централизуемой части</w:t>
      </w:r>
      <w:r>
        <w:rPr>
          <w:rFonts w:ascii="Times New Roman" w:hAnsi="Times New Roman"/>
          <w:sz w:val="24"/>
          <w:szCs w:val="24"/>
        </w:rPr>
        <w:t>,</w:t>
      </w:r>
      <w:r w:rsidRPr="00F15F8C">
        <w:rPr>
          <w:rFonts w:ascii="Times New Roman" w:hAnsi="Times New Roman"/>
          <w:sz w:val="24"/>
          <w:szCs w:val="24"/>
        </w:rPr>
        <w:t xml:space="preserve"> запланированы на 201</w:t>
      </w:r>
      <w:r>
        <w:rPr>
          <w:rFonts w:ascii="Times New Roman" w:hAnsi="Times New Roman"/>
          <w:sz w:val="24"/>
          <w:szCs w:val="24"/>
        </w:rPr>
        <w:t>5</w:t>
      </w:r>
      <w:r w:rsidRPr="00F15F8C">
        <w:rPr>
          <w:rFonts w:ascii="Times New Roman" w:hAnsi="Times New Roman"/>
          <w:sz w:val="24"/>
          <w:szCs w:val="24"/>
        </w:rPr>
        <w:t xml:space="preserve"> год в объеме </w:t>
      </w:r>
      <w:r>
        <w:rPr>
          <w:rFonts w:ascii="Times New Roman" w:hAnsi="Times New Roman"/>
          <w:sz w:val="24"/>
          <w:szCs w:val="24"/>
        </w:rPr>
        <w:t>1559055,0</w:t>
      </w:r>
      <w:r w:rsidRPr="00F15F8C">
        <w:rPr>
          <w:rFonts w:ascii="Times New Roman" w:hAnsi="Times New Roman"/>
          <w:sz w:val="24"/>
          <w:szCs w:val="24"/>
        </w:rPr>
        <w:t xml:space="preserve"> тыс. рублей, что </w:t>
      </w:r>
      <w:r>
        <w:rPr>
          <w:rFonts w:ascii="Times New Roman" w:hAnsi="Times New Roman"/>
          <w:sz w:val="24"/>
          <w:szCs w:val="24"/>
        </w:rPr>
        <w:t xml:space="preserve">выше </w:t>
      </w:r>
      <w:r w:rsidRPr="00F15F8C">
        <w:rPr>
          <w:rFonts w:ascii="Times New Roman" w:hAnsi="Times New Roman"/>
          <w:sz w:val="24"/>
          <w:szCs w:val="24"/>
        </w:rPr>
        <w:t>ожидаемого поступления акцизов в 201</w:t>
      </w:r>
      <w:r>
        <w:rPr>
          <w:rFonts w:ascii="Times New Roman" w:hAnsi="Times New Roman"/>
          <w:sz w:val="24"/>
          <w:szCs w:val="24"/>
        </w:rPr>
        <w:t>4</w:t>
      </w:r>
      <w:r w:rsidRPr="00F15F8C">
        <w:rPr>
          <w:rFonts w:ascii="Times New Roman" w:hAnsi="Times New Roman"/>
          <w:sz w:val="24"/>
          <w:szCs w:val="24"/>
        </w:rPr>
        <w:t xml:space="preserve"> году на </w:t>
      </w:r>
      <w:r>
        <w:rPr>
          <w:rFonts w:ascii="Times New Roman" w:hAnsi="Times New Roman"/>
          <w:sz w:val="24"/>
          <w:szCs w:val="24"/>
        </w:rPr>
        <w:t>3,6</w:t>
      </w:r>
      <w:r w:rsidRPr="00F15F8C">
        <w:rPr>
          <w:rFonts w:ascii="Times New Roman" w:hAnsi="Times New Roman"/>
          <w:sz w:val="24"/>
          <w:szCs w:val="24"/>
        </w:rPr>
        <w:t xml:space="preserve"> процента.</w:t>
      </w:r>
      <w:r>
        <w:rPr>
          <w:rFonts w:ascii="Times New Roman" w:hAnsi="Times New Roman"/>
          <w:sz w:val="24"/>
          <w:szCs w:val="24"/>
        </w:rPr>
        <w:t xml:space="preserve"> Прогноз поступлений акцизов в областной бюджет на 2015 год рассчитан исходя из сложившейся динамики поступлений доходов от уплаты акцизов на дизельное топливо, моторные масла, автомобильный и прямогонный бензин.</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Наибольший объем поступлений на 2015 год приходится на 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 1029406,0 тыс. рублей (65,8 процента в структуре доходов по акцизам),</w:t>
      </w:r>
      <w:r w:rsidRPr="006B6DE1">
        <w:rPr>
          <w:rFonts w:ascii="Times New Roman" w:hAnsi="Times New Roman"/>
          <w:sz w:val="24"/>
          <w:szCs w:val="24"/>
        </w:rPr>
        <w:t xml:space="preserve"> </w:t>
      </w:r>
      <w:r>
        <w:rPr>
          <w:rFonts w:ascii="Times New Roman" w:hAnsi="Times New Roman"/>
          <w:sz w:val="24"/>
          <w:szCs w:val="24"/>
        </w:rPr>
        <w:t xml:space="preserve">на доходы от уплаты акцизов на дизельное топливо, подлежащие распределению в консолидированные бюджеты субъектов Российской Федерации – 511304,0 тыс. рублей </w:t>
      </w:r>
      <w:r>
        <w:rPr>
          <w:rFonts w:ascii="Times New Roman" w:hAnsi="Times New Roman"/>
          <w:sz w:val="24"/>
          <w:szCs w:val="24"/>
        </w:rPr>
        <w:br/>
        <w:t>(32,7 процента в структуре доходов по акцизам).</w:t>
      </w:r>
    </w:p>
    <w:p w:rsidR="00A61C2A" w:rsidRDefault="00A61C2A" w:rsidP="00A61C2A">
      <w:pPr>
        <w:spacing w:after="0" w:line="240" w:lineRule="auto"/>
        <w:ind w:firstLine="680"/>
        <w:jc w:val="both"/>
        <w:rPr>
          <w:rFonts w:ascii="Times New Roman" w:hAnsi="Times New Roman"/>
          <w:sz w:val="24"/>
          <w:szCs w:val="24"/>
        </w:rPr>
      </w:pPr>
      <w:r>
        <w:rPr>
          <w:rFonts w:ascii="Times New Roman" w:hAnsi="Times New Roman"/>
          <w:sz w:val="24"/>
          <w:szCs w:val="24"/>
        </w:rPr>
        <w:t xml:space="preserve">Контрольно-счетная палата области отмечает, что структура поступлений акцизов на 2015 год по сравнению с 2014 годом претерпела изменения, а именно увеличилась доля поступлений доходов от уплаты акцизов на автомобильный бензин с 54,5 процента в </w:t>
      </w:r>
      <w:r>
        <w:rPr>
          <w:rFonts w:ascii="Times New Roman" w:hAnsi="Times New Roman"/>
          <w:sz w:val="24"/>
          <w:szCs w:val="24"/>
        </w:rPr>
        <w:br/>
        <w:t>2014 году до 65,8 процента в 2015 году, при этом доля доходов от уплаты акцизов на дизельное топливо уменьшилась с 42,0 процентов в 2014 году до 32,7 процента в 2015 году.</w:t>
      </w:r>
    </w:p>
    <w:p w:rsidR="00A61C2A" w:rsidRDefault="00A61C2A" w:rsidP="00A61C2A">
      <w:pPr>
        <w:spacing w:after="0" w:line="240" w:lineRule="auto"/>
        <w:ind w:firstLine="680"/>
        <w:jc w:val="both"/>
        <w:rPr>
          <w:rFonts w:ascii="Times New Roman" w:hAnsi="Times New Roman"/>
          <w:sz w:val="24"/>
          <w:szCs w:val="24"/>
        </w:rPr>
      </w:pPr>
      <w:r>
        <w:rPr>
          <w:rFonts w:ascii="Times New Roman" w:hAnsi="Times New Roman"/>
          <w:sz w:val="24"/>
          <w:szCs w:val="24"/>
        </w:rPr>
        <w:t xml:space="preserve">Кроме того, контрольно-счетная палата Амурской области отмечает снижение объема поступлений по доходам от уплаты акцизов на дизельное топливо по сравнению с поступлениями 2013 года согласно ожидаемой оценке 2014 года на 35,2 процента, при этом ожидается недовыполнение плановых назначений 2014 года по указанным доходам (плановые назначения – 704570,8 тыс. рублей, ожидаемое исполнение  2014 года – </w:t>
      </w:r>
      <w:r>
        <w:rPr>
          <w:rFonts w:ascii="Times New Roman" w:hAnsi="Times New Roman"/>
          <w:sz w:val="24"/>
          <w:szCs w:val="24"/>
        </w:rPr>
        <w:br/>
        <w:t>561609,2 тыс. рублей), что повлияло в целом на прогноз объема поступлений по доходам от уплаты акцизов на н</w:t>
      </w:r>
      <w:r w:rsidR="007E174C">
        <w:rPr>
          <w:rFonts w:ascii="Times New Roman" w:hAnsi="Times New Roman"/>
          <w:sz w:val="24"/>
          <w:szCs w:val="24"/>
        </w:rPr>
        <w:t>ефтепродукты на 2015-2017 годы.</w:t>
      </w:r>
    </w:p>
    <w:p w:rsidR="00A61C2A" w:rsidRPr="00F15F8C" w:rsidRDefault="00A61C2A" w:rsidP="00A61C2A">
      <w:pPr>
        <w:spacing w:after="0" w:line="240" w:lineRule="auto"/>
        <w:ind w:firstLine="680"/>
        <w:jc w:val="both"/>
        <w:rPr>
          <w:rFonts w:ascii="Times New Roman" w:hAnsi="Times New Roman"/>
          <w:sz w:val="24"/>
          <w:szCs w:val="24"/>
        </w:rPr>
      </w:pPr>
      <w:r w:rsidRPr="00F15F8C">
        <w:rPr>
          <w:rFonts w:ascii="Times New Roman" w:hAnsi="Times New Roman"/>
          <w:sz w:val="24"/>
          <w:szCs w:val="24"/>
        </w:rPr>
        <w:t>Прогноз поступлений акцизов на нефтепродукты на 201</w:t>
      </w:r>
      <w:r>
        <w:rPr>
          <w:rFonts w:ascii="Times New Roman" w:hAnsi="Times New Roman"/>
          <w:sz w:val="24"/>
          <w:szCs w:val="24"/>
        </w:rPr>
        <w:t>6</w:t>
      </w:r>
      <w:r w:rsidRPr="00F15F8C">
        <w:rPr>
          <w:rFonts w:ascii="Times New Roman" w:hAnsi="Times New Roman"/>
          <w:sz w:val="24"/>
          <w:szCs w:val="24"/>
        </w:rPr>
        <w:t xml:space="preserve"> год составляет </w:t>
      </w:r>
      <w:r>
        <w:rPr>
          <w:rFonts w:ascii="Times New Roman" w:hAnsi="Times New Roman"/>
          <w:sz w:val="24"/>
          <w:szCs w:val="24"/>
        </w:rPr>
        <w:br/>
        <w:t xml:space="preserve">1470601,0 </w:t>
      </w:r>
      <w:r w:rsidRPr="00F15F8C">
        <w:rPr>
          <w:rFonts w:ascii="Times New Roman" w:hAnsi="Times New Roman"/>
          <w:sz w:val="24"/>
          <w:szCs w:val="24"/>
        </w:rPr>
        <w:t>тыс. рублей</w:t>
      </w:r>
      <w:r>
        <w:rPr>
          <w:rFonts w:ascii="Times New Roman" w:hAnsi="Times New Roman"/>
          <w:sz w:val="24"/>
          <w:szCs w:val="24"/>
        </w:rPr>
        <w:t>, на 2017 год - 1400702 тыс. рублей</w:t>
      </w:r>
      <w:r w:rsidRPr="00F15F8C">
        <w:rPr>
          <w:rFonts w:ascii="Times New Roman" w:hAnsi="Times New Roman"/>
          <w:sz w:val="24"/>
          <w:szCs w:val="24"/>
        </w:rPr>
        <w:t>.</w:t>
      </w:r>
    </w:p>
    <w:p w:rsidR="00A61C2A" w:rsidRPr="00654379" w:rsidRDefault="00A61C2A" w:rsidP="00A61C2A">
      <w:pPr>
        <w:spacing w:after="0" w:line="240" w:lineRule="auto"/>
        <w:ind w:firstLine="709"/>
        <w:jc w:val="both"/>
        <w:rPr>
          <w:rFonts w:ascii="Times New Roman" w:hAnsi="Times New Roman"/>
          <w:b/>
          <w:i/>
          <w:sz w:val="24"/>
          <w:szCs w:val="24"/>
        </w:rPr>
      </w:pPr>
      <w:r w:rsidRPr="00654379">
        <w:rPr>
          <w:rFonts w:ascii="Times New Roman" w:hAnsi="Times New Roman"/>
          <w:b/>
          <w:i/>
          <w:sz w:val="24"/>
          <w:szCs w:val="24"/>
        </w:rPr>
        <w:t>Контрольно-счетная палата области расчет акцизов по подакцизным товарам (продукции), производимым на территории Российской Федерации, на 2015 год в объеме 1565073,0 тыс. рублей считает обоснованным.</w:t>
      </w:r>
    </w:p>
    <w:p w:rsidR="00A61C2A" w:rsidRDefault="00A61C2A" w:rsidP="00A61C2A">
      <w:pPr>
        <w:spacing w:after="0" w:line="240" w:lineRule="auto"/>
        <w:ind w:firstLine="680"/>
        <w:jc w:val="both"/>
        <w:rPr>
          <w:rFonts w:ascii="Times New Roman" w:hAnsi="Times New Roman"/>
          <w:sz w:val="24"/>
          <w:szCs w:val="24"/>
        </w:rPr>
      </w:pPr>
      <w:r w:rsidRPr="006920AD">
        <w:rPr>
          <w:rFonts w:ascii="Times New Roman" w:hAnsi="Times New Roman"/>
          <w:sz w:val="24"/>
          <w:szCs w:val="24"/>
        </w:rPr>
        <w:t>Структура поступлений акцизов по подакцизным товарам (продукции), производимым на территории Российской Федерации</w:t>
      </w:r>
      <w:r>
        <w:rPr>
          <w:rFonts w:ascii="Times New Roman" w:hAnsi="Times New Roman"/>
          <w:sz w:val="24"/>
          <w:szCs w:val="24"/>
        </w:rPr>
        <w:t xml:space="preserve"> на 2015 год</w:t>
      </w:r>
      <w:r w:rsidRPr="006920AD">
        <w:rPr>
          <w:rFonts w:ascii="Times New Roman" w:hAnsi="Times New Roman"/>
          <w:sz w:val="24"/>
          <w:szCs w:val="24"/>
        </w:rPr>
        <w:t xml:space="preserve">, представлена диаграммой </w:t>
      </w:r>
      <w:r w:rsidRPr="006920AD">
        <w:rPr>
          <w:rFonts w:ascii="Times New Roman" w:hAnsi="Times New Roman"/>
          <w:sz w:val="24"/>
          <w:szCs w:val="24"/>
        </w:rPr>
        <w:br/>
      </w:r>
      <w:r w:rsidRPr="00E17306">
        <w:rPr>
          <w:rFonts w:ascii="Times New Roman" w:hAnsi="Times New Roman"/>
          <w:sz w:val="24"/>
          <w:szCs w:val="24"/>
        </w:rPr>
        <w:t>на рисунке 1</w:t>
      </w:r>
      <w:r>
        <w:rPr>
          <w:rFonts w:ascii="Times New Roman" w:hAnsi="Times New Roman"/>
          <w:sz w:val="24"/>
          <w:szCs w:val="24"/>
        </w:rPr>
        <w:t>3</w:t>
      </w:r>
      <w:r w:rsidRPr="00E17306">
        <w:rPr>
          <w:rFonts w:ascii="Times New Roman" w:hAnsi="Times New Roman"/>
          <w:sz w:val="24"/>
          <w:szCs w:val="24"/>
        </w:rPr>
        <w:t>.</w:t>
      </w:r>
    </w:p>
    <w:p w:rsidR="000E7090" w:rsidRDefault="000E7090" w:rsidP="000E7090">
      <w:pPr>
        <w:spacing w:after="0" w:line="240" w:lineRule="auto"/>
        <w:ind w:firstLine="680"/>
        <w:jc w:val="both"/>
        <w:rPr>
          <w:rFonts w:ascii="Times New Roman" w:hAnsi="Times New Roman"/>
          <w:sz w:val="24"/>
          <w:szCs w:val="24"/>
        </w:rPr>
      </w:pPr>
      <w:r w:rsidRPr="00545B68">
        <w:rPr>
          <w:rFonts w:ascii="Times New Roman" w:hAnsi="Times New Roman"/>
          <w:b/>
          <w:sz w:val="24"/>
          <w:szCs w:val="24"/>
        </w:rPr>
        <w:t xml:space="preserve">Налог, взимаемый в связи с применением упрощенной системы налогообложения, </w:t>
      </w:r>
      <w:r w:rsidRPr="00545B68">
        <w:rPr>
          <w:rFonts w:ascii="Times New Roman" w:hAnsi="Times New Roman"/>
          <w:sz w:val="24"/>
          <w:szCs w:val="24"/>
        </w:rPr>
        <w:t xml:space="preserve">прогнозируется </w:t>
      </w:r>
      <w:r w:rsidRPr="00FE0C61">
        <w:rPr>
          <w:rFonts w:ascii="Times New Roman" w:hAnsi="Times New Roman"/>
          <w:sz w:val="24"/>
          <w:szCs w:val="24"/>
        </w:rPr>
        <w:t xml:space="preserve">на основании сведений администратора доходов областного бюджета - УФНС России по Амурской области, </w:t>
      </w:r>
      <w:r>
        <w:rPr>
          <w:rFonts w:ascii="Times New Roman" w:hAnsi="Times New Roman"/>
          <w:sz w:val="24"/>
          <w:szCs w:val="24"/>
        </w:rPr>
        <w:t>исходя из динамики поступлений налога, индекса потребительских цен (прогноз социально-экономического развития области).</w:t>
      </w:r>
    </w:p>
    <w:p w:rsidR="000E7090" w:rsidRDefault="000E7090" w:rsidP="000E7090">
      <w:pPr>
        <w:spacing w:after="0" w:line="240" w:lineRule="auto"/>
        <w:ind w:firstLine="680"/>
        <w:jc w:val="both"/>
        <w:rPr>
          <w:rFonts w:ascii="Times New Roman" w:hAnsi="Times New Roman"/>
          <w:sz w:val="24"/>
          <w:szCs w:val="24"/>
        </w:rPr>
      </w:pPr>
      <w:r>
        <w:rPr>
          <w:rFonts w:ascii="Times New Roman" w:hAnsi="Times New Roman"/>
          <w:sz w:val="24"/>
          <w:szCs w:val="24"/>
        </w:rPr>
        <w:t>Прогноз налога на 2015 год составляет 1388486,0 тыс. рублей, что выше ожидаемого поступления налога в 2014 году на 5,6 процента.</w:t>
      </w:r>
    </w:p>
    <w:p w:rsidR="00A61C2A" w:rsidRPr="00E17306" w:rsidRDefault="00A61C2A" w:rsidP="00000921">
      <w:pPr>
        <w:spacing w:after="0" w:line="240" w:lineRule="auto"/>
        <w:ind w:firstLine="680"/>
        <w:jc w:val="both"/>
        <w:rPr>
          <w:rFonts w:ascii="Times New Roman" w:hAnsi="Times New Roman"/>
          <w:sz w:val="24"/>
          <w:szCs w:val="24"/>
        </w:rPr>
      </w:pPr>
    </w:p>
    <w:p w:rsidR="00000921" w:rsidRPr="006920AD" w:rsidRDefault="00000921" w:rsidP="00000921">
      <w:pPr>
        <w:keepNext/>
        <w:widowControl w:val="0"/>
        <w:tabs>
          <w:tab w:val="left" w:pos="2700"/>
        </w:tabs>
        <w:autoSpaceDE w:val="0"/>
        <w:autoSpaceDN w:val="0"/>
        <w:adjustRightInd w:val="0"/>
        <w:spacing w:after="0" w:line="240" w:lineRule="auto"/>
        <w:jc w:val="center"/>
        <w:rPr>
          <w:rFonts w:ascii="Times New Roman" w:hAnsi="Times New Roman"/>
          <w:sz w:val="20"/>
          <w:szCs w:val="20"/>
        </w:rPr>
      </w:pPr>
      <w:r w:rsidRPr="006920AD">
        <w:rPr>
          <w:rFonts w:ascii="Times New Roman" w:hAnsi="Times New Roman"/>
          <w:noProof/>
          <w:sz w:val="24"/>
          <w:szCs w:val="24"/>
        </w:rPr>
        <w:lastRenderedPageBreak/>
        <w:drawing>
          <wp:inline distT="0" distB="0" distL="0" distR="0" wp14:anchorId="6121096A" wp14:editId="4B72FECD">
            <wp:extent cx="6343650" cy="34099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921" w:rsidRPr="006920AD" w:rsidRDefault="00000921" w:rsidP="00000921">
      <w:pPr>
        <w:widowControl w:val="0"/>
        <w:autoSpaceDE w:val="0"/>
        <w:autoSpaceDN w:val="0"/>
        <w:adjustRightInd w:val="0"/>
        <w:spacing w:line="240" w:lineRule="auto"/>
        <w:jc w:val="center"/>
        <w:rPr>
          <w:rFonts w:ascii="Times New Roman" w:hAnsi="Times New Roman"/>
          <w:b/>
          <w:bCs/>
          <w:sz w:val="18"/>
          <w:szCs w:val="18"/>
        </w:rPr>
      </w:pPr>
      <w:r w:rsidRPr="00CF72CF">
        <w:rPr>
          <w:rFonts w:ascii="Times New Roman" w:hAnsi="Times New Roman"/>
          <w:b/>
          <w:bCs/>
          <w:sz w:val="24"/>
          <w:szCs w:val="24"/>
        </w:rPr>
        <w:t>Рис. 1</w:t>
      </w:r>
      <w:r>
        <w:rPr>
          <w:rFonts w:ascii="Times New Roman" w:hAnsi="Times New Roman"/>
          <w:b/>
          <w:bCs/>
          <w:sz w:val="24"/>
          <w:szCs w:val="24"/>
        </w:rPr>
        <w:t>3</w:t>
      </w:r>
      <w:r w:rsidRPr="00CF72CF">
        <w:rPr>
          <w:rFonts w:ascii="Times New Roman" w:hAnsi="Times New Roman"/>
          <w:b/>
          <w:bCs/>
          <w:sz w:val="24"/>
          <w:szCs w:val="24"/>
        </w:rPr>
        <w:t xml:space="preserve"> </w:t>
      </w:r>
      <w:r w:rsidRPr="00C235E8">
        <w:rPr>
          <w:rFonts w:ascii="Times New Roman" w:hAnsi="Times New Roman"/>
          <w:bCs/>
          <w:sz w:val="24"/>
          <w:szCs w:val="24"/>
        </w:rPr>
        <w:t xml:space="preserve">– </w:t>
      </w:r>
      <w:r w:rsidRPr="006920AD">
        <w:rPr>
          <w:rFonts w:ascii="Times New Roman" w:hAnsi="Times New Roman"/>
          <w:b/>
          <w:bCs/>
          <w:sz w:val="24"/>
          <w:szCs w:val="24"/>
        </w:rPr>
        <w:t>Структура поступлений акцизов по подакцизным товарам (продукции), производимым на территории Российской Федерации</w:t>
      </w:r>
      <w:r>
        <w:rPr>
          <w:rFonts w:ascii="Times New Roman" w:hAnsi="Times New Roman"/>
          <w:b/>
          <w:bCs/>
          <w:sz w:val="24"/>
          <w:szCs w:val="24"/>
        </w:rPr>
        <w:t xml:space="preserve"> на 2015 год</w:t>
      </w:r>
      <w:r w:rsidRPr="006920AD">
        <w:rPr>
          <w:rFonts w:ascii="Times New Roman" w:hAnsi="Times New Roman"/>
          <w:b/>
          <w:bCs/>
          <w:sz w:val="24"/>
          <w:szCs w:val="24"/>
        </w:rPr>
        <w:t>, в процентах</w:t>
      </w:r>
    </w:p>
    <w:p w:rsidR="00000921" w:rsidRPr="00654379" w:rsidRDefault="00000921" w:rsidP="00000921">
      <w:pPr>
        <w:spacing w:after="0" w:line="240" w:lineRule="auto"/>
        <w:ind w:firstLine="709"/>
        <w:jc w:val="both"/>
        <w:rPr>
          <w:rFonts w:ascii="Times New Roman" w:hAnsi="Times New Roman"/>
          <w:b/>
          <w:i/>
          <w:sz w:val="24"/>
          <w:szCs w:val="24"/>
        </w:rPr>
      </w:pP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Оценка ожидаемого исполнения за 2014 год по налогу составляет 1314610,7 тыс. рублей, что выше объема поступлений по нало</w:t>
      </w:r>
      <w:r w:rsidR="007E174C">
        <w:rPr>
          <w:rFonts w:ascii="Times New Roman" w:hAnsi="Times New Roman"/>
          <w:sz w:val="24"/>
          <w:szCs w:val="24"/>
        </w:rPr>
        <w:t>гу за 2013 год на 1,6 процента.</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Прогноз поступлений налога на 2016 год составляет 1449687,0 тыс. рублей с приростом к 2015 году на 4,4 процента, на 2017 год – 1508481,0 тыс. рублей, или на </w:t>
      </w:r>
      <w:r>
        <w:rPr>
          <w:rFonts w:ascii="Times New Roman" w:hAnsi="Times New Roman"/>
          <w:sz w:val="24"/>
          <w:szCs w:val="24"/>
        </w:rPr>
        <w:br/>
        <w:t>4,1 процента выше объема поступлений 2016 года.</w:t>
      </w:r>
    </w:p>
    <w:p w:rsidR="00000921" w:rsidRPr="00FE0C61" w:rsidRDefault="00000921" w:rsidP="00000921">
      <w:pPr>
        <w:spacing w:after="0" w:line="240" w:lineRule="auto"/>
        <w:ind w:firstLine="680"/>
        <w:jc w:val="both"/>
        <w:rPr>
          <w:rFonts w:ascii="Times New Roman" w:hAnsi="Times New Roman"/>
          <w:b/>
          <w:i/>
          <w:sz w:val="24"/>
          <w:szCs w:val="24"/>
        </w:rPr>
      </w:pPr>
      <w:r w:rsidRPr="00FE0C61">
        <w:rPr>
          <w:rFonts w:ascii="Times New Roman" w:hAnsi="Times New Roman"/>
          <w:b/>
          <w:i/>
          <w:sz w:val="24"/>
          <w:szCs w:val="24"/>
        </w:rPr>
        <w:t>Контрольно-счетная палата области считает прогноз поступлений налога, взимаемого в связи с применением упрощенной системы налогообложения, на 2015 год в объеме 1388486,0 тыс. рублей обоснованным.</w:t>
      </w:r>
    </w:p>
    <w:p w:rsidR="00000921" w:rsidRPr="00545B68" w:rsidRDefault="00000921" w:rsidP="00000921">
      <w:pPr>
        <w:spacing w:after="0" w:line="240" w:lineRule="auto"/>
        <w:ind w:firstLine="680"/>
        <w:jc w:val="both"/>
        <w:rPr>
          <w:rFonts w:ascii="Times New Roman" w:hAnsi="Times New Roman"/>
          <w:b/>
          <w:sz w:val="24"/>
          <w:szCs w:val="24"/>
        </w:rPr>
      </w:pPr>
    </w:p>
    <w:p w:rsidR="00000921" w:rsidRPr="00545B68" w:rsidRDefault="00000921" w:rsidP="00000921">
      <w:pPr>
        <w:spacing w:after="0" w:line="240" w:lineRule="auto"/>
        <w:ind w:firstLine="680"/>
        <w:jc w:val="both"/>
        <w:rPr>
          <w:rFonts w:ascii="Times New Roman" w:hAnsi="Times New Roman"/>
          <w:b/>
          <w:sz w:val="24"/>
          <w:szCs w:val="24"/>
        </w:rPr>
      </w:pPr>
      <w:r w:rsidRPr="00545B68">
        <w:rPr>
          <w:rFonts w:ascii="Times New Roman" w:hAnsi="Times New Roman"/>
          <w:b/>
          <w:sz w:val="24"/>
          <w:szCs w:val="24"/>
        </w:rPr>
        <w:t>Налог на имущество организаций</w:t>
      </w:r>
    </w:p>
    <w:p w:rsidR="00000921" w:rsidRDefault="00000921" w:rsidP="00000921">
      <w:pPr>
        <w:spacing w:after="0" w:line="240" w:lineRule="auto"/>
        <w:ind w:firstLine="680"/>
        <w:jc w:val="both"/>
        <w:rPr>
          <w:rFonts w:ascii="Times New Roman" w:hAnsi="Times New Roman"/>
          <w:sz w:val="24"/>
          <w:szCs w:val="24"/>
        </w:rPr>
      </w:pPr>
      <w:r w:rsidRPr="00545B68">
        <w:rPr>
          <w:rFonts w:ascii="Times New Roman" w:hAnsi="Times New Roman"/>
          <w:sz w:val="24"/>
          <w:szCs w:val="24"/>
        </w:rPr>
        <w:t>Прогноз поступлений налога в 201</w:t>
      </w:r>
      <w:r>
        <w:rPr>
          <w:rFonts w:ascii="Times New Roman" w:hAnsi="Times New Roman"/>
          <w:sz w:val="24"/>
          <w:szCs w:val="24"/>
        </w:rPr>
        <w:t>5</w:t>
      </w:r>
      <w:r w:rsidRPr="00545B68">
        <w:rPr>
          <w:rFonts w:ascii="Times New Roman" w:hAnsi="Times New Roman"/>
          <w:sz w:val="24"/>
          <w:szCs w:val="24"/>
        </w:rPr>
        <w:t xml:space="preserve"> году составляет </w:t>
      </w:r>
      <w:r>
        <w:rPr>
          <w:rFonts w:ascii="Times New Roman" w:hAnsi="Times New Roman"/>
          <w:sz w:val="24"/>
          <w:szCs w:val="24"/>
        </w:rPr>
        <w:t>5258138,0</w:t>
      </w:r>
      <w:r w:rsidRPr="00545B68">
        <w:rPr>
          <w:rFonts w:ascii="Times New Roman" w:hAnsi="Times New Roman"/>
          <w:sz w:val="24"/>
          <w:szCs w:val="24"/>
        </w:rPr>
        <w:t xml:space="preserve"> тыс. рублей</w:t>
      </w:r>
      <w:r>
        <w:rPr>
          <w:rFonts w:ascii="Times New Roman" w:hAnsi="Times New Roman"/>
          <w:sz w:val="24"/>
          <w:szCs w:val="24"/>
        </w:rPr>
        <w:t>, что выше объема ожидаемых поступлений по налогу в 2014 году на 11,5 процента</w:t>
      </w:r>
      <w:r w:rsidRPr="00545B68">
        <w:rPr>
          <w:rFonts w:ascii="Times New Roman" w:hAnsi="Times New Roman"/>
          <w:sz w:val="24"/>
          <w:szCs w:val="24"/>
        </w:rPr>
        <w:t xml:space="preserve">. Расчеты </w:t>
      </w:r>
      <w:r>
        <w:rPr>
          <w:rFonts w:ascii="Times New Roman" w:hAnsi="Times New Roman"/>
          <w:sz w:val="24"/>
          <w:szCs w:val="24"/>
        </w:rPr>
        <w:t xml:space="preserve">по налогу на 2015-2017 годы </w:t>
      </w:r>
      <w:r w:rsidRPr="00C307FF">
        <w:rPr>
          <w:rFonts w:ascii="Times New Roman" w:hAnsi="Times New Roman"/>
          <w:sz w:val="24"/>
          <w:szCs w:val="24"/>
        </w:rPr>
        <w:t>выполнены исходя из ожидаемого поступления налога в 201</w:t>
      </w:r>
      <w:r>
        <w:rPr>
          <w:rFonts w:ascii="Times New Roman" w:hAnsi="Times New Roman"/>
          <w:sz w:val="24"/>
          <w:szCs w:val="24"/>
        </w:rPr>
        <w:t>4</w:t>
      </w:r>
      <w:r w:rsidRPr="00C307FF">
        <w:rPr>
          <w:rFonts w:ascii="Times New Roman" w:hAnsi="Times New Roman"/>
          <w:sz w:val="24"/>
          <w:szCs w:val="24"/>
        </w:rPr>
        <w:t xml:space="preserve"> году </w:t>
      </w:r>
      <w:r>
        <w:rPr>
          <w:rFonts w:ascii="Times New Roman" w:hAnsi="Times New Roman"/>
          <w:sz w:val="24"/>
          <w:szCs w:val="24"/>
        </w:rPr>
        <w:t xml:space="preserve">и дополнительных доходов по отмененным налоговым льготам в планируемых годах в отношении железнодорожных путей общего пользования, магистральных трубопроводов, линий электропередачи, а также сооружений, являющихся неотъемлемой технологической частью указанных </w:t>
      </w:r>
      <w:r w:rsidR="00076E6B">
        <w:rPr>
          <w:rFonts w:ascii="Times New Roman" w:hAnsi="Times New Roman"/>
          <w:sz w:val="24"/>
          <w:szCs w:val="24"/>
        </w:rPr>
        <w:t>объектов.</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Поступление налога на имущество организаций в областной бюджет на 2015 год и плановый период 2016 и 2017 годов спрогнозировано по данным администратора доходов - </w:t>
      </w:r>
      <w:r w:rsidRPr="00FE0C61">
        <w:rPr>
          <w:rFonts w:ascii="Times New Roman" w:hAnsi="Times New Roman"/>
          <w:sz w:val="24"/>
          <w:szCs w:val="24"/>
        </w:rPr>
        <w:t>УФНС России по Амурской области</w:t>
      </w:r>
      <w:r>
        <w:rPr>
          <w:rFonts w:ascii="Times New Roman" w:hAnsi="Times New Roman"/>
          <w:sz w:val="24"/>
          <w:szCs w:val="24"/>
        </w:rPr>
        <w:t>.</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Объем поступлений налога в областной бюджет ежегодно растет, так ожидаемое поступление налога в 2014 году составляет 4716612,0 тыс. рублей, что выше объема поступлений 2012 года в 1,7 раза, объема поступлений 2013 года – в 1,3 раза.</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Исполнение по налогу за девять месяцев текущего года составляет 3402077,2 тыс. рублей, что выше поступлений по налогу за аналогичный п</w:t>
      </w:r>
      <w:r w:rsidR="00076E6B">
        <w:rPr>
          <w:rFonts w:ascii="Times New Roman" w:hAnsi="Times New Roman"/>
          <w:sz w:val="24"/>
          <w:szCs w:val="24"/>
        </w:rPr>
        <w:t>ериод прошлого года в 1,3 раза.</w:t>
      </w:r>
    </w:p>
    <w:p w:rsidR="00000921" w:rsidRDefault="00076E6B" w:rsidP="00000921">
      <w:pPr>
        <w:spacing w:after="0" w:line="240" w:lineRule="auto"/>
        <w:ind w:firstLine="680"/>
        <w:jc w:val="both"/>
        <w:rPr>
          <w:rFonts w:ascii="Times New Roman" w:hAnsi="Times New Roman"/>
          <w:sz w:val="24"/>
          <w:szCs w:val="24"/>
        </w:rPr>
      </w:pPr>
      <w:r>
        <w:rPr>
          <w:rFonts w:ascii="Times New Roman" w:hAnsi="Times New Roman"/>
          <w:sz w:val="24"/>
          <w:szCs w:val="24"/>
        </w:rPr>
        <w:t>К</w:t>
      </w:r>
      <w:r w:rsidR="00000921">
        <w:rPr>
          <w:rFonts w:ascii="Times New Roman" w:hAnsi="Times New Roman"/>
          <w:sz w:val="24"/>
          <w:szCs w:val="24"/>
        </w:rPr>
        <w:t xml:space="preserve">онтрольно-счетная палата отмечает, что первоначальные плановые назначения по налогу на имущество организаций на 2014 год составляли 3931297,0 тыс. рублей, в течение 2014 года плановые назначения по налогу увеличены на 300000,0 тыс. рублей, </w:t>
      </w:r>
      <w:r>
        <w:rPr>
          <w:rFonts w:ascii="Times New Roman" w:hAnsi="Times New Roman"/>
          <w:sz w:val="24"/>
          <w:szCs w:val="24"/>
        </w:rPr>
        <w:br/>
      </w:r>
      <w:r w:rsidR="00000921">
        <w:rPr>
          <w:rFonts w:ascii="Times New Roman" w:hAnsi="Times New Roman"/>
          <w:sz w:val="24"/>
          <w:szCs w:val="24"/>
        </w:rPr>
        <w:t>или 7,6 процента и составили 4231297,0 тыс. рублей, при этом в 2014 году</w:t>
      </w:r>
      <w:r w:rsidR="00000921" w:rsidRPr="00EF64A9">
        <w:rPr>
          <w:rFonts w:ascii="Times New Roman" w:hAnsi="Times New Roman"/>
          <w:sz w:val="24"/>
          <w:szCs w:val="24"/>
        </w:rPr>
        <w:t xml:space="preserve"> </w:t>
      </w:r>
      <w:r w:rsidR="00000921">
        <w:rPr>
          <w:rFonts w:ascii="Times New Roman" w:hAnsi="Times New Roman"/>
          <w:sz w:val="24"/>
          <w:szCs w:val="24"/>
        </w:rPr>
        <w:t>ожидается перевыполнение плановых назначений по нало</w:t>
      </w:r>
      <w:r>
        <w:rPr>
          <w:rFonts w:ascii="Times New Roman" w:hAnsi="Times New Roman"/>
          <w:sz w:val="24"/>
          <w:szCs w:val="24"/>
        </w:rPr>
        <w:t>гу на имущество организаций.</w:t>
      </w:r>
    </w:p>
    <w:p w:rsidR="00000921" w:rsidRPr="00545B68"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lastRenderedPageBreak/>
        <w:t xml:space="preserve">Прогноз поступлений налога на 2016 год составляет 5895615,0 тыс. рублей, на </w:t>
      </w:r>
      <w:r>
        <w:rPr>
          <w:rFonts w:ascii="Times New Roman" w:hAnsi="Times New Roman"/>
          <w:sz w:val="24"/>
          <w:szCs w:val="24"/>
        </w:rPr>
        <w:br/>
        <w:t>2017 год – 6741430,0 тыс. рублей. Увеличение поступлений налога в 2017 году связано с введением объектов строительства на Нижне-Бурейской ГЭС.</w:t>
      </w:r>
    </w:p>
    <w:p w:rsidR="00000921" w:rsidRPr="00333BFC" w:rsidRDefault="00000921" w:rsidP="00000921">
      <w:pPr>
        <w:spacing w:after="0" w:line="240" w:lineRule="auto"/>
        <w:ind w:firstLine="680"/>
        <w:jc w:val="both"/>
        <w:rPr>
          <w:rFonts w:ascii="Times New Roman" w:hAnsi="Times New Roman"/>
          <w:b/>
          <w:i/>
          <w:sz w:val="24"/>
          <w:szCs w:val="24"/>
        </w:rPr>
      </w:pPr>
      <w:r w:rsidRPr="00333BFC">
        <w:rPr>
          <w:rFonts w:ascii="Times New Roman" w:hAnsi="Times New Roman"/>
          <w:b/>
          <w:i/>
          <w:sz w:val="24"/>
          <w:szCs w:val="24"/>
        </w:rPr>
        <w:t>Контрольно-счетная палата области считает прогноз поступлений по налогу на имущество организаций на 201</w:t>
      </w:r>
      <w:r>
        <w:rPr>
          <w:rFonts w:ascii="Times New Roman" w:hAnsi="Times New Roman"/>
          <w:b/>
          <w:i/>
          <w:sz w:val="24"/>
          <w:szCs w:val="24"/>
        </w:rPr>
        <w:t>5</w:t>
      </w:r>
      <w:r w:rsidRPr="00333BFC">
        <w:rPr>
          <w:rFonts w:ascii="Times New Roman" w:hAnsi="Times New Roman"/>
          <w:b/>
          <w:i/>
          <w:sz w:val="24"/>
          <w:szCs w:val="24"/>
        </w:rPr>
        <w:t xml:space="preserve"> год в объеме </w:t>
      </w:r>
      <w:r>
        <w:rPr>
          <w:rFonts w:ascii="Times New Roman" w:hAnsi="Times New Roman"/>
          <w:b/>
          <w:i/>
          <w:sz w:val="24"/>
          <w:szCs w:val="24"/>
        </w:rPr>
        <w:t>5258138,0</w:t>
      </w:r>
      <w:r w:rsidRPr="00333BFC">
        <w:rPr>
          <w:rFonts w:ascii="Times New Roman" w:hAnsi="Times New Roman"/>
          <w:b/>
          <w:i/>
          <w:sz w:val="24"/>
          <w:szCs w:val="24"/>
        </w:rPr>
        <w:t xml:space="preserve"> тыс. рублей обоснованным.</w:t>
      </w:r>
    </w:p>
    <w:p w:rsidR="00000921" w:rsidRPr="00076E6B" w:rsidRDefault="00000921" w:rsidP="00000921">
      <w:pPr>
        <w:spacing w:after="0" w:line="240" w:lineRule="auto"/>
        <w:ind w:firstLine="680"/>
        <w:jc w:val="both"/>
        <w:rPr>
          <w:rFonts w:ascii="Times New Roman" w:hAnsi="Times New Roman"/>
          <w:color w:val="000000" w:themeColor="text1"/>
          <w:sz w:val="24"/>
          <w:szCs w:val="24"/>
        </w:rPr>
      </w:pPr>
    </w:p>
    <w:p w:rsidR="00000921" w:rsidRPr="00545B68" w:rsidRDefault="00000921" w:rsidP="00000921">
      <w:pPr>
        <w:spacing w:after="0" w:line="240" w:lineRule="auto"/>
        <w:ind w:firstLine="680"/>
        <w:jc w:val="both"/>
        <w:rPr>
          <w:rFonts w:ascii="Times New Roman" w:hAnsi="Times New Roman"/>
          <w:b/>
          <w:sz w:val="24"/>
          <w:szCs w:val="24"/>
        </w:rPr>
      </w:pPr>
      <w:r w:rsidRPr="00545B68">
        <w:rPr>
          <w:rFonts w:ascii="Times New Roman" w:hAnsi="Times New Roman"/>
          <w:b/>
          <w:sz w:val="24"/>
          <w:szCs w:val="24"/>
        </w:rPr>
        <w:t>Транспортный налог</w:t>
      </w:r>
    </w:p>
    <w:p w:rsidR="00000921" w:rsidRDefault="00000921" w:rsidP="00000921">
      <w:pPr>
        <w:spacing w:after="0" w:line="240" w:lineRule="auto"/>
        <w:ind w:firstLine="680"/>
        <w:jc w:val="both"/>
        <w:rPr>
          <w:rFonts w:ascii="Times New Roman" w:hAnsi="Times New Roman"/>
          <w:sz w:val="24"/>
          <w:szCs w:val="24"/>
        </w:rPr>
      </w:pPr>
      <w:r w:rsidRPr="00545B68">
        <w:rPr>
          <w:rFonts w:ascii="Times New Roman" w:hAnsi="Times New Roman"/>
          <w:sz w:val="24"/>
          <w:szCs w:val="24"/>
        </w:rPr>
        <w:t>Поступление транспортного налога в областной бюджет на 201</w:t>
      </w:r>
      <w:r>
        <w:rPr>
          <w:rFonts w:ascii="Times New Roman" w:hAnsi="Times New Roman"/>
          <w:sz w:val="24"/>
          <w:szCs w:val="24"/>
        </w:rPr>
        <w:t>5</w:t>
      </w:r>
      <w:r w:rsidRPr="00545B68">
        <w:rPr>
          <w:rFonts w:ascii="Times New Roman" w:hAnsi="Times New Roman"/>
          <w:sz w:val="24"/>
          <w:szCs w:val="24"/>
        </w:rPr>
        <w:t xml:space="preserve"> год запланировано в объеме </w:t>
      </w:r>
      <w:r>
        <w:rPr>
          <w:rFonts w:ascii="Times New Roman" w:hAnsi="Times New Roman"/>
          <w:sz w:val="24"/>
          <w:szCs w:val="24"/>
        </w:rPr>
        <w:t>781789,0</w:t>
      </w:r>
      <w:r w:rsidRPr="00545B68">
        <w:rPr>
          <w:rFonts w:ascii="Times New Roman" w:hAnsi="Times New Roman"/>
          <w:sz w:val="24"/>
          <w:szCs w:val="24"/>
        </w:rPr>
        <w:t xml:space="preserve"> тыс. рублей, что </w:t>
      </w:r>
      <w:r>
        <w:rPr>
          <w:rFonts w:ascii="Times New Roman" w:hAnsi="Times New Roman"/>
          <w:sz w:val="24"/>
          <w:szCs w:val="24"/>
        </w:rPr>
        <w:t>выше</w:t>
      </w:r>
      <w:r w:rsidRPr="00545B68">
        <w:rPr>
          <w:rFonts w:ascii="Times New Roman" w:hAnsi="Times New Roman"/>
          <w:sz w:val="24"/>
          <w:szCs w:val="24"/>
        </w:rPr>
        <w:t xml:space="preserve"> ожидаемых поступлений 201</w:t>
      </w:r>
      <w:r>
        <w:rPr>
          <w:rFonts w:ascii="Times New Roman" w:hAnsi="Times New Roman"/>
          <w:sz w:val="24"/>
          <w:szCs w:val="24"/>
        </w:rPr>
        <w:t>4</w:t>
      </w:r>
      <w:r w:rsidRPr="00545B68">
        <w:rPr>
          <w:rFonts w:ascii="Times New Roman" w:hAnsi="Times New Roman"/>
          <w:sz w:val="24"/>
          <w:szCs w:val="24"/>
        </w:rPr>
        <w:t xml:space="preserve"> года на </w:t>
      </w:r>
      <w:r>
        <w:rPr>
          <w:rFonts w:ascii="Times New Roman" w:hAnsi="Times New Roman"/>
          <w:sz w:val="24"/>
          <w:szCs w:val="24"/>
        </w:rPr>
        <w:t>16,5</w:t>
      </w:r>
      <w:r w:rsidRPr="00545B68">
        <w:rPr>
          <w:rFonts w:ascii="Times New Roman" w:hAnsi="Times New Roman"/>
          <w:sz w:val="24"/>
          <w:szCs w:val="24"/>
        </w:rPr>
        <w:t xml:space="preserve"> процента</w:t>
      </w:r>
      <w:r>
        <w:rPr>
          <w:rFonts w:ascii="Times New Roman" w:hAnsi="Times New Roman"/>
          <w:sz w:val="24"/>
          <w:szCs w:val="24"/>
        </w:rPr>
        <w:t>.</w:t>
      </w:r>
    </w:p>
    <w:p w:rsidR="00000921" w:rsidRPr="00545B68"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Объем поступлений транспортного налога с физических лиц на 2015 год составляет 626599,0 тыс. рублей, с организаций – 155190,0 тыс. рублей.</w:t>
      </w:r>
    </w:p>
    <w:p w:rsidR="00000921" w:rsidRDefault="00000921" w:rsidP="00000921">
      <w:pPr>
        <w:spacing w:after="0" w:line="240" w:lineRule="auto"/>
        <w:ind w:firstLine="680"/>
        <w:jc w:val="both"/>
        <w:rPr>
          <w:rFonts w:ascii="Times New Roman" w:hAnsi="Times New Roman"/>
          <w:sz w:val="24"/>
          <w:szCs w:val="24"/>
        </w:rPr>
      </w:pPr>
      <w:r w:rsidRPr="00545B68">
        <w:rPr>
          <w:rFonts w:ascii="Times New Roman" w:hAnsi="Times New Roman"/>
          <w:sz w:val="24"/>
          <w:szCs w:val="24"/>
        </w:rPr>
        <w:t xml:space="preserve">Транспортный налог рассчитан </w:t>
      </w:r>
      <w:r>
        <w:rPr>
          <w:rFonts w:ascii="Times New Roman" w:hAnsi="Times New Roman"/>
          <w:sz w:val="24"/>
          <w:szCs w:val="24"/>
        </w:rPr>
        <w:t>по сведениям администратора доходов областного бюджета – УФНС России по Амурской области, исходя из начислений по количеству транспортных средств на основании отчета о налоговой базе по форме 5-ТН за 2013 год в разрезе юридических и физических лиц.</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Прогноз поступлений налога на 2016 год составляет 799787,0 тыс. рублей, на </w:t>
      </w:r>
      <w:r>
        <w:rPr>
          <w:rFonts w:ascii="Times New Roman" w:hAnsi="Times New Roman"/>
          <w:sz w:val="24"/>
          <w:szCs w:val="24"/>
        </w:rPr>
        <w:br/>
        <w:t>2017 год – 844949,0 тыс. рублей.</w:t>
      </w:r>
    </w:p>
    <w:p w:rsidR="00000921" w:rsidRPr="002F19C5" w:rsidRDefault="00000921" w:rsidP="00000921">
      <w:pPr>
        <w:spacing w:after="0" w:line="240" w:lineRule="auto"/>
        <w:ind w:firstLine="680"/>
        <w:jc w:val="both"/>
        <w:rPr>
          <w:rFonts w:ascii="Times New Roman" w:hAnsi="Times New Roman"/>
          <w:b/>
          <w:i/>
          <w:sz w:val="24"/>
          <w:szCs w:val="24"/>
        </w:rPr>
      </w:pPr>
      <w:r w:rsidRPr="002F19C5">
        <w:rPr>
          <w:rFonts w:ascii="Times New Roman" w:hAnsi="Times New Roman"/>
          <w:b/>
          <w:i/>
          <w:sz w:val="24"/>
          <w:szCs w:val="24"/>
        </w:rPr>
        <w:t>Контрольно-счетная палата области считает прогноз поступлений транспортного налога на 2015 год в объеме 781789,0 тыс. рублей обоснованным.</w:t>
      </w:r>
    </w:p>
    <w:p w:rsidR="00000921" w:rsidRPr="00076E6B" w:rsidRDefault="00000921" w:rsidP="00000921">
      <w:pPr>
        <w:spacing w:after="0" w:line="240" w:lineRule="auto"/>
        <w:ind w:firstLine="680"/>
        <w:jc w:val="both"/>
        <w:rPr>
          <w:rFonts w:ascii="Times New Roman" w:hAnsi="Times New Roman"/>
          <w:b/>
          <w:color w:val="000000" w:themeColor="text1"/>
          <w:sz w:val="24"/>
          <w:szCs w:val="24"/>
        </w:rPr>
      </w:pPr>
    </w:p>
    <w:p w:rsidR="00000921" w:rsidRDefault="00000921" w:rsidP="00000921">
      <w:pPr>
        <w:spacing w:after="0" w:line="240" w:lineRule="auto"/>
        <w:ind w:firstLine="680"/>
        <w:jc w:val="both"/>
        <w:rPr>
          <w:rFonts w:ascii="Times New Roman" w:hAnsi="Times New Roman"/>
          <w:b/>
          <w:sz w:val="24"/>
          <w:szCs w:val="24"/>
        </w:rPr>
      </w:pPr>
      <w:r w:rsidRPr="00545B68">
        <w:rPr>
          <w:rFonts w:ascii="Times New Roman" w:hAnsi="Times New Roman"/>
          <w:b/>
          <w:sz w:val="24"/>
          <w:szCs w:val="24"/>
        </w:rPr>
        <w:t xml:space="preserve">Налог на добычу </w:t>
      </w:r>
      <w:r>
        <w:rPr>
          <w:rFonts w:ascii="Times New Roman" w:hAnsi="Times New Roman"/>
          <w:b/>
          <w:sz w:val="24"/>
          <w:szCs w:val="24"/>
        </w:rPr>
        <w:t xml:space="preserve">полезных ископаемых </w:t>
      </w:r>
    </w:p>
    <w:p w:rsidR="00000921" w:rsidRDefault="00000921" w:rsidP="00000921">
      <w:pPr>
        <w:spacing w:after="0" w:line="240" w:lineRule="auto"/>
        <w:ind w:firstLine="680"/>
        <w:jc w:val="both"/>
        <w:rPr>
          <w:rFonts w:ascii="Times New Roman" w:hAnsi="Times New Roman"/>
          <w:sz w:val="24"/>
          <w:szCs w:val="24"/>
        </w:rPr>
      </w:pPr>
      <w:r w:rsidRPr="00545B68">
        <w:rPr>
          <w:rFonts w:ascii="Times New Roman" w:hAnsi="Times New Roman"/>
          <w:sz w:val="24"/>
          <w:szCs w:val="24"/>
        </w:rPr>
        <w:t xml:space="preserve">Прогнозируемая сумма налога на добычу полезных ископаемых </w:t>
      </w:r>
      <w:r>
        <w:rPr>
          <w:rFonts w:ascii="Times New Roman" w:hAnsi="Times New Roman"/>
          <w:sz w:val="24"/>
          <w:szCs w:val="24"/>
        </w:rPr>
        <w:t xml:space="preserve">на 2015 год </w:t>
      </w:r>
      <w:r w:rsidRPr="00545B68">
        <w:rPr>
          <w:rFonts w:ascii="Times New Roman" w:hAnsi="Times New Roman"/>
          <w:sz w:val="24"/>
          <w:szCs w:val="24"/>
        </w:rPr>
        <w:t xml:space="preserve">составляет </w:t>
      </w:r>
      <w:r>
        <w:rPr>
          <w:rFonts w:ascii="Times New Roman" w:hAnsi="Times New Roman"/>
          <w:sz w:val="24"/>
          <w:szCs w:val="24"/>
        </w:rPr>
        <w:t>1655344,0</w:t>
      </w:r>
      <w:r w:rsidRPr="00545B68">
        <w:rPr>
          <w:rFonts w:ascii="Times New Roman" w:hAnsi="Times New Roman"/>
          <w:sz w:val="24"/>
          <w:szCs w:val="24"/>
        </w:rPr>
        <w:t xml:space="preserve"> тыс. рублей</w:t>
      </w:r>
      <w:r>
        <w:rPr>
          <w:rFonts w:ascii="Times New Roman" w:hAnsi="Times New Roman"/>
          <w:sz w:val="24"/>
          <w:szCs w:val="24"/>
        </w:rPr>
        <w:t xml:space="preserve">, что ниже ожидаемых поступлений 2014 года </w:t>
      </w:r>
      <w:r>
        <w:rPr>
          <w:rFonts w:ascii="Times New Roman" w:hAnsi="Times New Roman"/>
          <w:sz w:val="24"/>
          <w:szCs w:val="24"/>
        </w:rPr>
        <w:br/>
        <w:t>на 114427,2 тыс. рублей, или 6,5 процента.</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Прогноз поступлений по налогу на 2016 год составляет 1632098,0 тыс. рублей, </w:t>
      </w:r>
      <w:r>
        <w:rPr>
          <w:rFonts w:ascii="Times New Roman" w:hAnsi="Times New Roman"/>
          <w:sz w:val="24"/>
          <w:szCs w:val="24"/>
        </w:rPr>
        <w:br/>
        <w:t>на 2017 год – 1608336,0 тыс. рублей</w:t>
      </w:r>
      <w:r w:rsidRPr="00545B68">
        <w:rPr>
          <w:rFonts w:ascii="Times New Roman" w:hAnsi="Times New Roman"/>
          <w:sz w:val="24"/>
          <w:szCs w:val="24"/>
        </w:rPr>
        <w:t>.</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Данный налог состоит из налога на добычу общераспространенных полезных ископаемых, налога на добычу прочих полезных ископаемых (за исключением полезных ископаемых в виде природных алмазов), налога на добычу полезных ископаемых в виде угля.</w:t>
      </w:r>
    </w:p>
    <w:p w:rsidR="00000921" w:rsidRDefault="00000921" w:rsidP="00000921">
      <w:pPr>
        <w:spacing w:after="0" w:line="240" w:lineRule="auto"/>
        <w:ind w:firstLine="680"/>
        <w:jc w:val="both"/>
        <w:rPr>
          <w:rFonts w:ascii="Times New Roman" w:hAnsi="Times New Roman"/>
          <w:sz w:val="24"/>
          <w:szCs w:val="24"/>
        </w:rPr>
      </w:pPr>
    </w:p>
    <w:p w:rsidR="00000921" w:rsidRDefault="00000921" w:rsidP="00000921">
      <w:pPr>
        <w:spacing w:after="0" w:line="240" w:lineRule="auto"/>
        <w:ind w:firstLine="680"/>
        <w:jc w:val="both"/>
        <w:rPr>
          <w:rFonts w:ascii="Times New Roman" w:hAnsi="Times New Roman"/>
          <w:sz w:val="24"/>
          <w:szCs w:val="24"/>
        </w:rPr>
      </w:pPr>
      <w:r w:rsidRPr="00A33A2A">
        <w:rPr>
          <w:rFonts w:ascii="Times New Roman" w:hAnsi="Times New Roman"/>
          <w:b/>
          <w:i/>
          <w:sz w:val="24"/>
          <w:szCs w:val="24"/>
        </w:rPr>
        <w:t xml:space="preserve">Налог на добычу общераспространенных полезных ископаемых </w:t>
      </w:r>
      <w:r w:rsidRPr="00A33A2A">
        <w:rPr>
          <w:rFonts w:ascii="Times New Roman" w:hAnsi="Times New Roman"/>
          <w:b/>
          <w:sz w:val="24"/>
          <w:szCs w:val="24"/>
        </w:rPr>
        <w:t>на 2015 год рассчитан в объеме 28974,0 тыс. рублей</w:t>
      </w:r>
      <w:r>
        <w:rPr>
          <w:rFonts w:ascii="Times New Roman" w:hAnsi="Times New Roman"/>
          <w:sz w:val="24"/>
          <w:szCs w:val="24"/>
        </w:rPr>
        <w:t xml:space="preserve">, исходя из динамики поступлений налога. Объем поступлений налога на 2015 год ниже ожидаемого поступления налога 2014 года </w:t>
      </w:r>
      <w:r>
        <w:rPr>
          <w:rFonts w:ascii="Times New Roman" w:hAnsi="Times New Roman"/>
          <w:sz w:val="24"/>
          <w:szCs w:val="24"/>
        </w:rPr>
        <w:br/>
        <w:t>на 30,3 процента (ожидаемое исполнение за 2014 год – 41545,3 тыс. рублей).</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Прогноз поступлений налога на 2016 год составляет 30364,0 тыс. рублей, на 2017 год – 31700,0 тыс. рублей.</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По данным администратора доходов - </w:t>
      </w:r>
      <w:r w:rsidRPr="00FE0C61">
        <w:rPr>
          <w:rFonts w:ascii="Times New Roman" w:hAnsi="Times New Roman"/>
          <w:sz w:val="24"/>
          <w:szCs w:val="24"/>
        </w:rPr>
        <w:t>УФНС России по Амурской области</w:t>
      </w:r>
      <w:r>
        <w:rPr>
          <w:rFonts w:ascii="Times New Roman" w:hAnsi="Times New Roman"/>
          <w:sz w:val="24"/>
          <w:szCs w:val="24"/>
        </w:rPr>
        <w:t xml:space="preserve"> ожидаемое поступление по налогу в 2014 году составит 34878,0 тыс. рублей, что на 23,1 процента ниже плановых назначений на 2014 год. Недовыполнение плановых показателей обусловлено снижением поступлений по ОАО «РЖД» (на начало года у налогоплательщика имелась значительная переплата, поступлений в 2014 году не планируется), ОАО «Покровский рудник», ЗАО «Асфальт» - в результате снижения объемов по добыче п</w:t>
      </w:r>
      <w:r w:rsidR="00076E6B">
        <w:rPr>
          <w:rFonts w:ascii="Times New Roman" w:hAnsi="Times New Roman"/>
          <w:sz w:val="24"/>
          <w:szCs w:val="24"/>
        </w:rPr>
        <w:t>еска для производственных нужд.</w:t>
      </w:r>
    </w:p>
    <w:p w:rsidR="00000921" w:rsidRPr="00A33A2A" w:rsidRDefault="00000921" w:rsidP="00000921">
      <w:pPr>
        <w:spacing w:after="0" w:line="240" w:lineRule="auto"/>
        <w:ind w:firstLine="680"/>
        <w:jc w:val="both"/>
        <w:rPr>
          <w:rFonts w:ascii="Times New Roman" w:hAnsi="Times New Roman"/>
          <w:b/>
          <w:sz w:val="24"/>
          <w:szCs w:val="24"/>
        </w:rPr>
      </w:pPr>
      <w:r>
        <w:rPr>
          <w:rFonts w:ascii="Times New Roman" w:hAnsi="Times New Roman"/>
          <w:sz w:val="24"/>
          <w:szCs w:val="24"/>
        </w:rPr>
        <w:t>Прогноз поступлений налога в областной бюджета по данным администратора доходов -</w:t>
      </w:r>
      <w:r w:rsidRPr="00434F9D">
        <w:rPr>
          <w:rFonts w:ascii="Times New Roman" w:hAnsi="Times New Roman"/>
          <w:sz w:val="24"/>
          <w:szCs w:val="24"/>
        </w:rPr>
        <w:t xml:space="preserve"> </w:t>
      </w:r>
      <w:r w:rsidRPr="00A33A2A">
        <w:rPr>
          <w:rFonts w:ascii="Times New Roman" w:hAnsi="Times New Roman"/>
          <w:b/>
          <w:sz w:val="24"/>
          <w:szCs w:val="24"/>
        </w:rPr>
        <w:t xml:space="preserve">УФНС России по Амурской области на 2015 год составляет 35339,0 тыс. рублей, на 2016 год – 37389,0 тыс. рублей, на </w:t>
      </w:r>
      <w:r w:rsidR="00076E6B">
        <w:rPr>
          <w:rFonts w:ascii="Times New Roman" w:hAnsi="Times New Roman"/>
          <w:b/>
          <w:sz w:val="24"/>
          <w:szCs w:val="24"/>
        </w:rPr>
        <w:t>2017 год – 39258,0 тыс. рублей.</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Расчет прогноза поступлений налога в областной бюджет произведен администратором доходов на основании фактических поступлений налога в январе-июне 2014 года и ожидаемых поступлений налога в июле-декабре 2014 года, определенных исходя из фактических поступлений налога в июле-декабре 2013 года и сложившегося темпа роста поступлений первого полугодия текущего года по сравнению </w:t>
      </w:r>
      <w:r w:rsidR="00076E6B">
        <w:rPr>
          <w:rFonts w:ascii="Times New Roman" w:hAnsi="Times New Roman"/>
          <w:sz w:val="24"/>
          <w:szCs w:val="24"/>
        </w:rPr>
        <w:t xml:space="preserve">с первым полугодием </w:t>
      </w:r>
      <w:r w:rsidR="00076E6B">
        <w:rPr>
          <w:rFonts w:ascii="Times New Roman" w:hAnsi="Times New Roman"/>
          <w:sz w:val="24"/>
          <w:szCs w:val="24"/>
        </w:rPr>
        <w:br/>
        <w:t>2013 года.</w:t>
      </w:r>
    </w:p>
    <w:p w:rsidR="00000921" w:rsidRPr="00A33A2A" w:rsidRDefault="00000921" w:rsidP="00000921">
      <w:pPr>
        <w:spacing w:after="0" w:line="240" w:lineRule="auto"/>
        <w:ind w:firstLine="680"/>
        <w:jc w:val="both"/>
        <w:rPr>
          <w:rFonts w:ascii="Times New Roman" w:hAnsi="Times New Roman"/>
          <w:b/>
          <w:sz w:val="24"/>
          <w:szCs w:val="24"/>
        </w:rPr>
      </w:pPr>
      <w:r w:rsidRPr="00A33A2A">
        <w:rPr>
          <w:rFonts w:ascii="Times New Roman" w:hAnsi="Times New Roman"/>
          <w:b/>
          <w:sz w:val="24"/>
          <w:szCs w:val="24"/>
        </w:rPr>
        <w:lastRenderedPageBreak/>
        <w:t>Контрольно-счетная палата Амурской области считает целесообразным предусмотреть поступление налога на добычу общераспространенных полезных ископаемых на 2015 год и плановый период 2016 и 2017 годов по данным администратора доходов областного бюджета.</w:t>
      </w:r>
    </w:p>
    <w:p w:rsidR="00000921" w:rsidRPr="007E7378" w:rsidRDefault="00000921" w:rsidP="00000921">
      <w:pPr>
        <w:spacing w:after="0" w:line="240" w:lineRule="auto"/>
        <w:ind w:firstLine="680"/>
        <w:jc w:val="both"/>
        <w:rPr>
          <w:rFonts w:ascii="Times New Roman" w:hAnsi="Times New Roman"/>
          <w:sz w:val="24"/>
          <w:szCs w:val="24"/>
        </w:rPr>
      </w:pPr>
    </w:p>
    <w:p w:rsidR="00000921" w:rsidRPr="00520052" w:rsidRDefault="00000921" w:rsidP="00000921">
      <w:pPr>
        <w:spacing w:after="0" w:line="240" w:lineRule="auto"/>
        <w:ind w:firstLine="680"/>
        <w:jc w:val="both"/>
        <w:rPr>
          <w:rFonts w:ascii="Times New Roman" w:hAnsi="Times New Roman"/>
          <w:i/>
          <w:sz w:val="24"/>
          <w:szCs w:val="24"/>
        </w:rPr>
      </w:pPr>
      <w:r w:rsidRPr="00520052">
        <w:rPr>
          <w:rFonts w:ascii="Times New Roman" w:hAnsi="Times New Roman"/>
          <w:i/>
          <w:sz w:val="24"/>
          <w:szCs w:val="24"/>
        </w:rPr>
        <w:t>Налог на добычу прочих полезных ископаемых (за исключением полезных ископаемых в виде природных алмазов)</w:t>
      </w:r>
    </w:p>
    <w:p w:rsidR="00000921" w:rsidRDefault="00000921" w:rsidP="00000921">
      <w:pPr>
        <w:spacing w:after="0" w:line="240" w:lineRule="auto"/>
        <w:ind w:firstLine="680"/>
        <w:jc w:val="both"/>
        <w:rPr>
          <w:rFonts w:ascii="Times New Roman" w:hAnsi="Times New Roman"/>
          <w:sz w:val="24"/>
          <w:szCs w:val="24"/>
        </w:rPr>
      </w:pPr>
      <w:r w:rsidRPr="00545B68">
        <w:rPr>
          <w:rFonts w:ascii="Times New Roman" w:hAnsi="Times New Roman"/>
          <w:sz w:val="24"/>
          <w:szCs w:val="24"/>
        </w:rPr>
        <w:t xml:space="preserve">Прогнозируемая сумма налога на добычу </w:t>
      </w:r>
      <w:r>
        <w:rPr>
          <w:rFonts w:ascii="Times New Roman" w:hAnsi="Times New Roman"/>
          <w:sz w:val="24"/>
          <w:szCs w:val="24"/>
        </w:rPr>
        <w:t xml:space="preserve">прочих </w:t>
      </w:r>
      <w:r w:rsidRPr="00545B68">
        <w:rPr>
          <w:rFonts w:ascii="Times New Roman" w:hAnsi="Times New Roman"/>
          <w:sz w:val="24"/>
          <w:szCs w:val="24"/>
        </w:rPr>
        <w:t xml:space="preserve">полезных ископаемых </w:t>
      </w:r>
      <w:r>
        <w:rPr>
          <w:rFonts w:ascii="Times New Roman" w:hAnsi="Times New Roman"/>
          <w:sz w:val="24"/>
          <w:szCs w:val="24"/>
        </w:rPr>
        <w:t xml:space="preserve">на 2015 год </w:t>
      </w:r>
      <w:r w:rsidRPr="00545B68">
        <w:rPr>
          <w:rFonts w:ascii="Times New Roman" w:hAnsi="Times New Roman"/>
          <w:sz w:val="24"/>
          <w:szCs w:val="24"/>
        </w:rPr>
        <w:t xml:space="preserve">составляет </w:t>
      </w:r>
      <w:r>
        <w:rPr>
          <w:rFonts w:ascii="Times New Roman" w:hAnsi="Times New Roman"/>
          <w:sz w:val="24"/>
          <w:szCs w:val="24"/>
        </w:rPr>
        <w:t>1603336,0</w:t>
      </w:r>
      <w:r w:rsidRPr="00545B68">
        <w:rPr>
          <w:rFonts w:ascii="Times New Roman" w:hAnsi="Times New Roman"/>
          <w:sz w:val="24"/>
          <w:szCs w:val="24"/>
        </w:rPr>
        <w:t xml:space="preserve"> тыс. рублей</w:t>
      </w:r>
      <w:r>
        <w:rPr>
          <w:rFonts w:ascii="Times New Roman" w:hAnsi="Times New Roman"/>
          <w:sz w:val="24"/>
          <w:szCs w:val="24"/>
        </w:rPr>
        <w:t xml:space="preserve">, что ниже ожидаемых поступлений 2014 года на </w:t>
      </w:r>
      <w:r>
        <w:rPr>
          <w:rFonts w:ascii="Times New Roman" w:hAnsi="Times New Roman"/>
          <w:sz w:val="24"/>
          <w:szCs w:val="24"/>
        </w:rPr>
        <w:br/>
        <w:t>102449,9 тыс. рублей, или 6,0 процентов, поступлений 2013 года - на 0,9 процента.</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Прогноз поступлений по налогу на 2016 год составляет 1577776,0 тыс. рублей,</w:t>
      </w:r>
      <w:r>
        <w:rPr>
          <w:rFonts w:ascii="Times New Roman" w:hAnsi="Times New Roman"/>
          <w:sz w:val="24"/>
          <w:szCs w:val="24"/>
        </w:rPr>
        <w:br/>
        <w:t>на 2017 год – 1552216,0 тыс. рублей</w:t>
      </w:r>
      <w:r w:rsidRPr="00545B68">
        <w:rPr>
          <w:rFonts w:ascii="Times New Roman" w:hAnsi="Times New Roman"/>
          <w:sz w:val="24"/>
          <w:szCs w:val="24"/>
        </w:rPr>
        <w:t>.</w:t>
      </w:r>
    </w:p>
    <w:p w:rsidR="00000921" w:rsidRPr="00B37A90" w:rsidRDefault="00000921" w:rsidP="00000921">
      <w:pPr>
        <w:spacing w:after="0" w:line="240" w:lineRule="auto"/>
        <w:ind w:firstLine="680"/>
        <w:jc w:val="both"/>
        <w:rPr>
          <w:rFonts w:ascii="Times New Roman" w:hAnsi="Times New Roman"/>
          <w:sz w:val="24"/>
          <w:szCs w:val="24"/>
        </w:rPr>
      </w:pPr>
      <w:r w:rsidRPr="00545B68">
        <w:rPr>
          <w:rFonts w:ascii="Times New Roman" w:hAnsi="Times New Roman"/>
          <w:sz w:val="24"/>
          <w:szCs w:val="24"/>
        </w:rPr>
        <w:t>Исчисление налога произведено</w:t>
      </w:r>
      <w:r>
        <w:rPr>
          <w:rFonts w:ascii="Times New Roman" w:hAnsi="Times New Roman"/>
          <w:sz w:val="24"/>
          <w:szCs w:val="24"/>
        </w:rPr>
        <w:t xml:space="preserve"> на основе показателей прогноза социально-экономического развития области об объемах добычи полезных ископаемых в разрезе видов полезных ископаемых, уровня цен на добываемые полезные ископаемые</w:t>
      </w:r>
      <w:r w:rsidRPr="00545B68">
        <w:rPr>
          <w:rFonts w:ascii="Times New Roman" w:hAnsi="Times New Roman"/>
          <w:sz w:val="24"/>
          <w:szCs w:val="24"/>
        </w:rPr>
        <w:t xml:space="preserve">, </w:t>
      </w:r>
      <w:r w:rsidRPr="00B37A90">
        <w:rPr>
          <w:rFonts w:ascii="Times New Roman" w:hAnsi="Times New Roman"/>
          <w:sz w:val="24"/>
          <w:szCs w:val="24"/>
        </w:rPr>
        <w:t>исходя из налоговых ставок, установленных Налоговым кодексом Российской Федерации, и утвержденных нормативов отчислений в областной бюджет.</w:t>
      </w:r>
    </w:p>
    <w:p w:rsidR="00000921" w:rsidRPr="005729DD" w:rsidRDefault="00000921" w:rsidP="00000921">
      <w:pPr>
        <w:spacing w:after="0" w:line="240" w:lineRule="auto"/>
        <w:ind w:firstLine="680"/>
        <w:jc w:val="both"/>
        <w:rPr>
          <w:rFonts w:ascii="Times New Roman" w:hAnsi="Times New Roman"/>
          <w:sz w:val="24"/>
          <w:szCs w:val="24"/>
        </w:rPr>
      </w:pPr>
      <w:r w:rsidRPr="005729DD">
        <w:rPr>
          <w:rFonts w:ascii="Times New Roman" w:hAnsi="Times New Roman"/>
          <w:sz w:val="24"/>
          <w:szCs w:val="24"/>
        </w:rPr>
        <w:t>Прогноз добычи золота, принятый при исчислении налога, составляет</w:t>
      </w:r>
      <w:r w:rsidRPr="005729DD">
        <w:rPr>
          <w:rFonts w:ascii="Times New Roman" w:hAnsi="Times New Roman"/>
          <w:sz w:val="24"/>
          <w:szCs w:val="24"/>
        </w:rPr>
        <w:br/>
        <w:t>на 201</w:t>
      </w:r>
      <w:r>
        <w:rPr>
          <w:rFonts w:ascii="Times New Roman" w:hAnsi="Times New Roman"/>
          <w:sz w:val="24"/>
          <w:szCs w:val="24"/>
        </w:rPr>
        <w:t>5 год – 30,5 тонн</w:t>
      </w:r>
      <w:r w:rsidR="008D28AD">
        <w:rPr>
          <w:rFonts w:ascii="Times New Roman" w:hAnsi="Times New Roman"/>
          <w:sz w:val="24"/>
          <w:szCs w:val="24"/>
        </w:rPr>
        <w:t>ы</w:t>
      </w:r>
      <w:r>
        <w:rPr>
          <w:rFonts w:ascii="Times New Roman" w:hAnsi="Times New Roman"/>
          <w:sz w:val="24"/>
          <w:szCs w:val="24"/>
        </w:rPr>
        <w:t>, 2016 год</w:t>
      </w:r>
      <w:r w:rsidRPr="005729DD">
        <w:rPr>
          <w:rFonts w:ascii="Times New Roman" w:hAnsi="Times New Roman"/>
          <w:sz w:val="24"/>
          <w:szCs w:val="24"/>
        </w:rPr>
        <w:t xml:space="preserve"> </w:t>
      </w:r>
      <w:r>
        <w:rPr>
          <w:rFonts w:ascii="Times New Roman" w:hAnsi="Times New Roman"/>
          <w:sz w:val="24"/>
          <w:szCs w:val="24"/>
        </w:rPr>
        <w:t>–</w:t>
      </w:r>
      <w:r w:rsidRPr="005729DD">
        <w:rPr>
          <w:rFonts w:ascii="Times New Roman" w:hAnsi="Times New Roman"/>
          <w:sz w:val="24"/>
          <w:szCs w:val="24"/>
        </w:rPr>
        <w:t xml:space="preserve"> </w:t>
      </w:r>
      <w:r>
        <w:rPr>
          <w:rFonts w:ascii="Times New Roman" w:hAnsi="Times New Roman"/>
          <w:sz w:val="24"/>
          <w:szCs w:val="24"/>
        </w:rPr>
        <w:t>30,0 тонн, 2017 год – 29,5 тонн</w:t>
      </w:r>
      <w:r w:rsidR="008D28AD">
        <w:rPr>
          <w:rFonts w:ascii="Times New Roman" w:hAnsi="Times New Roman"/>
          <w:sz w:val="24"/>
          <w:szCs w:val="24"/>
        </w:rPr>
        <w:t>ы</w:t>
      </w:r>
      <w:r>
        <w:rPr>
          <w:rFonts w:ascii="Times New Roman" w:hAnsi="Times New Roman"/>
          <w:sz w:val="24"/>
          <w:szCs w:val="24"/>
        </w:rPr>
        <w:t xml:space="preserve">, </w:t>
      </w:r>
      <w:r w:rsidRPr="005729DD">
        <w:rPr>
          <w:rFonts w:ascii="Times New Roman" w:hAnsi="Times New Roman"/>
          <w:sz w:val="24"/>
          <w:szCs w:val="24"/>
        </w:rPr>
        <w:t>цена</w:t>
      </w:r>
      <w:r>
        <w:rPr>
          <w:rFonts w:ascii="Times New Roman" w:hAnsi="Times New Roman"/>
          <w:sz w:val="24"/>
          <w:szCs w:val="24"/>
        </w:rPr>
        <w:t xml:space="preserve"> 1420 рублей за </w:t>
      </w:r>
      <w:r>
        <w:rPr>
          <w:rFonts w:ascii="Times New Roman" w:hAnsi="Times New Roman"/>
          <w:sz w:val="24"/>
          <w:szCs w:val="24"/>
        </w:rPr>
        <w:br/>
        <w:t>1 грамм золота</w:t>
      </w:r>
      <w:r w:rsidRPr="005729DD">
        <w:rPr>
          <w:rFonts w:ascii="Times New Roman" w:hAnsi="Times New Roman"/>
          <w:sz w:val="24"/>
          <w:szCs w:val="24"/>
        </w:rPr>
        <w:t>.</w:t>
      </w:r>
    </w:p>
    <w:p w:rsidR="00000921" w:rsidRPr="007E7378" w:rsidRDefault="00000921" w:rsidP="00000921">
      <w:pPr>
        <w:spacing w:after="0" w:line="240" w:lineRule="auto"/>
        <w:ind w:firstLine="680"/>
        <w:jc w:val="both"/>
        <w:rPr>
          <w:rFonts w:ascii="Times New Roman" w:hAnsi="Times New Roman"/>
          <w:sz w:val="24"/>
          <w:szCs w:val="24"/>
        </w:rPr>
      </w:pPr>
      <w:r w:rsidRPr="007E7378">
        <w:rPr>
          <w:rFonts w:ascii="Times New Roman" w:hAnsi="Times New Roman"/>
          <w:sz w:val="24"/>
          <w:szCs w:val="24"/>
        </w:rPr>
        <w:t xml:space="preserve">Прогнозируемый объем добычи железной руды планируется на 2015-2017 годы </w:t>
      </w:r>
      <w:r w:rsidRPr="007E7378">
        <w:rPr>
          <w:rFonts w:ascii="Times New Roman" w:hAnsi="Times New Roman"/>
          <w:sz w:val="24"/>
          <w:szCs w:val="24"/>
        </w:rPr>
        <w:br/>
        <w:t xml:space="preserve">3800 тыс. тонн ежегодно, цена за 1 тонну железной руды составляет на 2015-2017 годы – </w:t>
      </w:r>
      <w:r w:rsidRPr="007E7378">
        <w:rPr>
          <w:rFonts w:ascii="Times New Roman" w:hAnsi="Times New Roman"/>
          <w:sz w:val="24"/>
          <w:szCs w:val="24"/>
        </w:rPr>
        <w:br/>
        <w:t>404,0 рубля</w:t>
      </w:r>
      <w:r>
        <w:rPr>
          <w:rFonts w:ascii="Times New Roman" w:hAnsi="Times New Roman"/>
          <w:sz w:val="24"/>
          <w:szCs w:val="24"/>
        </w:rPr>
        <w:t xml:space="preserve"> (при формировании областного бюджета на 2014-2016 годы – 209,0 рублей </w:t>
      </w:r>
      <w:r>
        <w:rPr>
          <w:rFonts w:ascii="Times New Roman" w:hAnsi="Times New Roman"/>
          <w:sz w:val="24"/>
          <w:szCs w:val="24"/>
        </w:rPr>
        <w:br/>
        <w:t>за 1 тонну железной руды)</w:t>
      </w:r>
      <w:r w:rsidRPr="007E7378">
        <w:rPr>
          <w:rFonts w:ascii="Times New Roman" w:hAnsi="Times New Roman"/>
          <w:sz w:val="24"/>
          <w:szCs w:val="24"/>
        </w:rPr>
        <w:t>.</w:t>
      </w:r>
    </w:p>
    <w:p w:rsidR="00000921" w:rsidRDefault="00000921" w:rsidP="00000921">
      <w:pPr>
        <w:spacing w:after="0" w:line="240" w:lineRule="auto"/>
        <w:ind w:firstLine="680"/>
        <w:jc w:val="both"/>
        <w:rPr>
          <w:rFonts w:ascii="Times New Roman" w:hAnsi="Times New Roman"/>
          <w:i/>
          <w:sz w:val="24"/>
          <w:szCs w:val="24"/>
        </w:rPr>
      </w:pPr>
    </w:p>
    <w:p w:rsidR="00000921" w:rsidRPr="00520052" w:rsidRDefault="00000921" w:rsidP="00000921">
      <w:pPr>
        <w:spacing w:after="0" w:line="240" w:lineRule="auto"/>
        <w:ind w:firstLine="680"/>
        <w:jc w:val="both"/>
        <w:rPr>
          <w:rFonts w:ascii="Times New Roman" w:hAnsi="Times New Roman"/>
          <w:i/>
          <w:sz w:val="24"/>
          <w:szCs w:val="24"/>
        </w:rPr>
      </w:pPr>
      <w:r w:rsidRPr="00520052">
        <w:rPr>
          <w:rFonts w:ascii="Times New Roman" w:hAnsi="Times New Roman"/>
          <w:i/>
          <w:sz w:val="24"/>
          <w:szCs w:val="24"/>
        </w:rPr>
        <w:t xml:space="preserve">Налог на добычу </w:t>
      </w:r>
      <w:r>
        <w:rPr>
          <w:rFonts w:ascii="Times New Roman" w:hAnsi="Times New Roman"/>
          <w:i/>
          <w:sz w:val="24"/>
          <w:szCs w:val="24"/>
        </w:rPr>
        <w:t>полезных ископаемых в виде угля</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Прогноз поступлений по налогу на 2015 год составляет 23034,0 тыс. рублей, что выше ожидаемого объема поступлений 2014 года на 2,6 процента.</w:t>
      </w:r>
    </w:p>
    <w:p w:rsidR="00000921" w:rsidRPr="00B97270" w:rsidRDefault="00000921" w:rsidP="00000921">
      <w:pPr>
        <w:spacing w:after="0" w:line="240" w:lineRule="auto"/>
        <w:ind w:firstLine="680"/>
        <w:jc w:val="both"/>
        <w:rPr>
          <w:rFonts w:ascii="Times New Roman" w:hAnsi="Times New Roman"/>
          <w:sz w:val="24"/>
          <w:szCs w:val="24"/>
        </w:rPr>
      </w:pPr>
      <w:r w:rsidRPr="00B47912">
        <w:rPr>
          <w:rFonts w:ascii="Times New Roman" w:hAnsi="Times New Roman"/>
          <w:sz w:val="24"/>
          <w:szCs w:val="24"/>
        </w:rPr>
        <w:t>Объем добычи угля</w:t>
      </w:r>
      <w:r>
        <w:rPr>
          <w:rFonts w:ascii="Times New Roman" w:hAnsi="Times New Roman"/>
          <w:sz w:val="24"/>
          <w:szCs w:val="24"/>
        </w:rPr>
        <w:t xml:space="preserve">, принятый при исчислении налога составляет в </w:t>
      </w:r>
      <w:r w:rsidRPr="00B47912">
        <w:rPr>
          <w:rFonts w:ascii="Times New Roman" w:hAnsi="Times New Roman"/>
          <w:sz w:val="24"/>
          <w:szCs w:val="24"/>
        </w:rPr>
        <w:t>201</w:t>
      </w:r>
      <w:r>
        <w:rPr>
          <w:rFonts w:ascii="Times New Roman" w:hAnsi="Times New Roman"/>
          <w:sz w:val="24"/>
          <w:szCs w:val="24"/>
        </w:rPr>
        <w:t>5</w:t>
      </w:r>
      <w:r w:rsidRPr="00B47912">
        <w:rPr>
          <w:rFonts w:ascii="Times New Roman" w:hAnsi="Times New Roman"/>
          <w:sz w:val="24"/>
          <w:szCs w:val="24"/>
        </w:rPr>
        <w:t xml:space="preserve"> год</w:t>
      </w:r>
      <w:r>
        <w:rPr>
          <w:rFonts w:ascii="Times New Roman" w:hAnsi="Times New Roman"/>
          <w:sz w:val="24"/>
          <w:szCs w:val="24"/>
        </w:rPr>
        <w:t>у</w:t>
      </w:r>
      <w:r w:rsidRPr="00B47912">
        <w:rPr>
          <w:rFonts w:ascii="Times New Roman" w:hAnsi="Times New Roman"/>
          <w:sz w:val="24"/>
          <w:szCs w:val="24"/>
        </w:rPr>
        <w:t xml:space="preserve"> </w:t>
      </w:r>
      <w:r>
        <w:rPr>
          <w:rFonts w:ascii="Times New Roman" w:hAnsi="Times New Roman"/>
          <w:sz w:val="24"/>
          <w:szCs w:val="24"/>
        </w:rPr>
        <w:t>-</w:t>
      </w:r>
      <w:r w:rsidRPr="00B47912">
        <w:rPr>
          <w:rFonts w:ascii="Times New Roman" w:hAnsi="Times New Roman"/>
          <w:sz w:val="24"/>
          <w:szCs w:val="24"/>
        </w:rPr>
        <w:t xml:space="preserve"> </w:t>
      </w:r>
      <w:r>
        <w:rPr>
          <w:rFonts w:ascii="Times New Roman" w:hAnsi="Times New Roman"/>
          <w:sz w:val="24"/>
          <w:szCs w:val="24"/>
        </w:rPr>
        <w:br/>
      </w:r>
      <w:r w:rsidRPr="00B47912">
        <w:rPr>
          <w:rFonts w:ascii="Times New Roman" w:hAnsi="Times New Roman"/>
          <w:sz w:val="24"/>
          <w:szCs w:val="24"/>
        </w:rPr>
        <w:t>3</w:t>
      </w:r>
      <w:r>
        <w:rPr>
          <w:rFonts w:ascii="Times New Roman" w:hAnsi="Times New Roman"/>
          <w:sz w:val="24"/>
          <w:szCs w:val="24"/>
        </w:rPr>
        <w:t>490</w:t>
      </w:r>
      <w:r w:rsidRPr="00B47912">
        <w:rPr>
          <w:rFonts w:ascii="Times New Roman" w:hAnsi="Times New Roman"/>
          <w:sz w:val="24"/>
          <w:szCs w:val="24"/>
        </w:rPr>
        <w:t xml:space="preserve"> тыс. тонн, в 201</w:t>
      </w:r>
      <w:r>
        <w:rPr>
          <w:rFonts w:ascii="Times New Roman" w:hAnsi="Times New Roman"/>
          <w:sz w:val="24"/>
          <w:szCs w:val="24"/>
        </w:rPr>
        <w:t>6</w:t>
      </w:r>
      <w:r w:rsidRPr="00B47912">
        <w:rPr>
          <w:rFonts w:ascii="Times New Roman" w:hAnsi="Times New Roman"/>
          <w:sz w:val="24"/>
          <w:szCs w:val="24"/>
        </w:rPr>
        <w:t xml:space="preserve"> году </w:t>
      </w:r>
      <w:r>
        <w:rPr>
          <w:rFonts w:ascii="Times New Roman" w:hAnsi="Times New Roman"/>
          <w:sz w:val="24"/>
          <w:szCs w:val="24"/>
        </w:rPr>
        <w:t>–</w:t>
      </w:r>
      <w:r w:rsidRPr="00B47912">
        <w:rPr>
          <w:rFonts w:ascii="Times New Roman" w:hAnsi="Times New Roman"/>
          <w:sz w:val="24"/>
          <w:szCs w:val="24"/>
        </w:rPr>
        <w:t xml:space="preserve"> </w:t>
      </w:r>
      <w:r>
        <w:rPr>
          <w:rFonts w:ascii="Times New Roman" w:hAnsi="Times New Roman"/>
          <w:sz w:val="24"/>
          <w:szCs w:val="24"/>
        </w:rPr>
        <w:t>3630,</w:t>
      </w:r>
      <w:r w:rsidRPr="00B47912">
        <w:rPr>
          <w:rFonts w:ascii="Times New Roman" w:hAnsi="Times New Roman"/>
          <w:sz w:val="24"/>
          <w:szCs w:val="24"/>
        </w:rPr>
        <w:t>0 тыс. тонн</w:t>
      </w:r>
      <w:r>
        <w:rPr>
          <w:rFonts w:ascii="Times New Roman" w:hAnsi="Times New Roman"/>
          <w:sz w:val="24"/>
          <w:szCs w:val="24"/>
        </w:rPr>
        <w:t>, в 2017 году – 3700 тыс. тонн</w:t>
      </w:r>
      <w:r w:rsidRPr="00B47912">
        <w:rPr>
          <w:rFonts w:ascii="Times New Roman" w:hAnsi="Times New Roman"/>
          <w:sz w:val="24"/>
          <w:szCs w:val="24"/>
        </w:rPr>
        <w:t>. Цена за 1 тонну угля в 201</w:t>
      </w:r>
      <w:r>
        <w:rPr>
          <w:rFonts w:ascii="Times New Roman" w:hAnsi="Times New Roman"/>
          <w:sz w:val="24"/>
          <w:szCs w:val="24"/>
        </w:rPr>
        <w:t>5</w:t>
      </w:r>
      <w:r w:rsidRPr="00B47912">
        <w:rPr>
          <w:rFonts w:ascii="Times New Roman" w:hAnsi="Times New Roman"/>
          <w:sz w:val="24"/>
          <w:szCs w:val="24"/>
        </w:rPr>
        <w:t>-201</w:t>
      </w:r>
      <w:r>
        <w:rPr>
          <w:rFonts w:ascii="Times New Roman" w:hAnsi="Times New Roman"/>
          <w:sz w:val="24"/>
          <w:szCs w:val="24"/>
        </w:rPr>
        <w:t>7</w:t>
      </w:r>
      <w:r w:rsidRPr="00B47912">
        <w:rPr>
          <w:rFonts w:ascii="Times New Roman" w:hAnsi="Times New Roman"/>
          <w:sz w:val="24"/>
          <w:szCs w:val="24"/>
        </w:rPr>
        <w:t xml:space="preserve"> годах составит 11,00 рублей</w:t>
      </w:r>
      <w:r w:rsidRPr="00B97270">
        <w:rPr>
          <w:rFonts w:ascii="Times New Roman" w:hAnsi="Times New Roman"/>
          <w:sz w:val="24"/>
          <w:szCs w:val="24"/>
        </w:rPr>
        <w:t>.</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 xml:space="preserve">Прогноз поступлений по налогу на добычу полезных ископаемых в виде угля на </w:t>
      </w:r>
      <w:r>
        <w:rPr>
          <w:rFonts w:ascii="Times New Roman" w:hAnsi="Times New Roman"/>
          <w:sz w:val="24"/>
          <w:szCs w:val="24"/>
        </w:rPr>
        <w:br/>
        <w:t xml:space="preserve">2016 год составляет 23958,0 тыс. рублей, на </w:t>
      </w:r>
      <w:r w:rsidR="008D28AD">
        <w:rPr>
          <w:rFonts w:ascii="Times New Roman" w:hAnsi="Times New Roman"/>
          <w:sz w:val="24"/>
          <w:szCs w:val="24"/>
        </w:rPr>
        <w:t>2017 год -24420,0 тыс. рублей.</w:t>
      </w:r>
    </w:p>
    <w:p w:rsidR="00000921" w:rsidRDefault="00000921" w:rsidP="00000921">
      <w:pPr>
        <w:spacing w:after="0" w:line="240" w:lineRule="auto"/>
        <w:ind w:firstLine="680"/>
        <w:jc w:val="both"/>
        <w:rPr>
          <w:rFonts w:ascii="Times New Roman" w:hAnsi="Times New Roman"/>
          <w:sz w:val="24"/>
          <w:szCs w:val="24"/>
        </w:rPr>
      </w:pP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Прогноз поступлений налога</w:t>
      </w:r>
      <w:r w:rsidRPr="00954C95">
        <w:rPr>
          <w:rFonts w:ascii="Times New Roman" w:hAnsi="Times New Roman"/>
          <w:i/>
          <w:sz w:val="24"/>
          <w:szCs w:val="24"/>
        </w:rPr>
        <w:t xml:space="preserve"> </w:t>
      </w:r>
      <w:r w:rsidRPr="00954C95">
        <w:rPr>
          <w:rFonts w:ascii="Times New Roman" w:hAnsi="Times New Roman"/>
          <w:sz w:val="24"/>
          <w:szCs w:val="24"/>
        </w:rPr>
        <w:t>на добычу прочих полезных ископаемых</w:t>
      </w:r>
      <w:r>
        <w:rPr>
          <w:rFonts w:ascii="Times New Roman" w:hAnsi="Times New Roman"/>
          <w:sz w:val="24"/>
          <w:szCs w:val="24"/>
        </w:rPr>
        <w:t xml:space="preserve"> с учетом налога на добычу полезных ископаемых в виде угля в областной бюджет по данным администратора доходов -</w:t>
      </w:r>
      <w:r w:rsidRPr="00434F9D">
        <w:rPr>
          <w:rFonts w:ascii="Times New Roman" w:hAnsi="Times New Roman"/>
          <w:sz w:val="24"/>
          <w:szCs w:val="24"/>
        </w:rPr>
        <w:t xml:space="preserve"> </w:t>
      </w:r>
      <w:r w:rsidRPr="00FE0C61">
        <w:rPr>
          <w:rFonts w:ascii="Times New Roman" w:hAnsi="Times New Roman"/>
          <w:sz w:val="24"/>
          <w:szCs w:val="24"/>
        </w:rPr>
        <w:t>УФНС России по Амурской области</w:t>
      </w:r>
      <w:r>
        <w:rPr>
          <w:rFonts w:ascii="Times New Roman" w:hAnsi="Times New Roman"/>
          <w:sz w:val="24"/>
          <w:szCs w:val="24"/>
        </w:rPr>
        <w:t xml:space="preserve"> на 2015 год составляет </w:t>
      </w:r>
      <w:r w:rsidRPr="00954C95">
        <w:rPr>
          <w:rFonts w:ascii="Times New Roman" w:hAnsi="Times New Roman"/>
          <w:sz w:val="24"/>
          <w:szCs w:val="24"/>
        </w:rPr>
        <w:t>1769569,0 тыс</w:t>
      </w:r>
      <w:r>
        <w:rPr>
          <w:rFonts w:ascii="Times New Roman" w:hAnsi="Times New Roman"/>
          <w:sz w:val="24"/>
          <w:szCs w:val="24"/>
        </w:rPr>
        <w:t>. рублей, на 2016 год – 1805137,0 тыс. рублей, на 20</w:t>
      </w:r>
      <w:r w:rsidR="008D28AD">
        <w:rPr>
          <w:rFonts w:ascii="Times New Roman" w:hAnsi="Times New Roman"/>
          <w:sz w:val="24"/>
          <w:szCs w:val="24"/>
        </w:rPr>
        <w:t>17 год – 1805137,0 тыс. рублей.</w:t>
      </w:r>
    </w:p>
    <w:p w:rsidR="00000921" w:rsidRPr="00096DEE" w:rsidRDefault="00000921" w:rsidP="00000921">
      <w:pPr>
        <w:spacing w:after="0" w:line="240" w:lineRule="auto"/>
        <w:ind w:firstLine="680"/>
        <w:jc w:val="both"/>
        <w:rPr>
          <w:rFonts w:ascii="Times New Roman" w:hAnsi="Times New Roman"/>
          <w:b/>
          <w:sz w:val="24"/>
          <w:szCs w:val="24"/>
        </w:rPr>
      </w:pPr>
      <w:r w:rsidRPr="00096DEE">
        <w:rPr>
          <w:rFonts w:ascii="Times New Roman" w:hAnsi="Times New Roman"/>
          <w:b/>
          <w:sz w:val="24"/>
          <w:szCs w:val="24"/>
        </w:rPr>
        <w:t>Контрольно-счетная палата Амурской области считает целесообразным предусмотреть поступление налога на добычу прочих полезных ископаемых с учетом налога на добычу полезных ископаемых в виде угля на 2015 год и плановый период 2016 и 2017 годов по данным администратора доходов областного бюджета.</w:t>
      </w:r>
    </w:p>
    <w:p w:rsidR="00000921" w:rsidRPr="000B2536" w:rsidRDefault="00000921" w:rsidP="00000921">
      <w:pPr>
        <w:spacing w:after="0" w:line="240" w:lineRule="auto"/>
        <w:ind w:firstLine="680"/>
        <w:jc w:val="both"/>
        <w:rPr>
          <w:rFonts w:ascii="Times New Roman" w:hAnsi="Times New Roman"/>
          <w:b/>
          <w:i/>
          <w:sz w:val="24"/>
          <w:szCs w:val="24"/>
        </w:rPr>
      </w:pPr>
    </w:p>
    <w:p w:rsidR="00000921" w:rsidRPr="00AE73E6" w:rsidRDefault="00000921" w:rsidP="00000921">
      <w:pPr>
        <w:spacing w:after="0" w:line="240" w:lineRule="auto"/>
        <w:ind w:firstLine="709"/>
        <w:jc w:val="both"/>
        <w:rPr>
          <w:rFonts w:ascii="Times New Roman" w:hAnsi="Times New Roman"/>
          <w:b/>
          <w:sz w:val="24"/>
          <w:szCs w:val="24"/>
        </w:rPr>
      </w:pPr>
      <w:r w:rsidRPr="001667B9">
        <w:rPr>
          <w:rFonts w:ascii="Times New Roman" w:hAnsi="Times New Roman"/>
          <w:b/>
          <w:sz w:val="24"/>
          <w:szCs w:val="24"/>
        </w:rPr>
        <w:t>Доходы областного бюджета от использования имущества, находящегося в государственной собственности</w:t>
      </w:r>
      <w:r>
        <w:rPr>
          <w:rFonts w:ascii="Times New Roman" w:hAnsi="Times New Roman"/>
          <w:b/>
          <w:sz w:val="24"/>
          <w:szCs w:val="24"/>
        </w:rPr>
        <w:t>,</w:t>
      </w:r>
      <w:r w:rsidRPr="001667B9">
        <w:rPr>
          <w:rFonts w:ascii="Times New Roman" w:hAnsi="Times New Roman"/>
          <w:sz w:val="24"/>
          <w:szCs w:val="24"/>
        </w:rPr>
        <w:t xml:space="preserve"> прогнозируются на 201</w:t>
      </w:r>
      <w:r>
        <w:rPr>
          <w:rFonts w:ascii="Times New Roman" w:hAnsi="Times New Roman"/>
          <w:sz w:val="24"/>
          <w:szCs w:val="24"/>
        </w:rPr>
        <w:t>5</w:t>
      </w:r>
      <w:r w:rsidRPr="001667B9">
        <w:rPr>
          <w:rFonts w:ascii="Times New Roman" w:hAnsi="Times New Roman"/>
          <w:sz w:val="24"/>
          <w:szCs w:val="24"/>
        </w:rPr>
        <w:t xml:space="preserve"> год в сумме </w:t>
      </w:r>
      <w:r>
        <w:rPr>
          <w:rFonts w:ascii="Times New Roman" w:hAnsi="Times New Roman"/>
          <w:sz w:val="24"/>
          <w:szCs w:val="24"/>
        </w:rPr>
        <w:t>51566</w:t>
      </w:r>
      <w:r w:rsidRPr="001667B9">
        <w:rPr>
          <w:rFonts w:ascii="Times New Roman" w:hAnsi="Times New Roman"/>
          <w:sz w:val="24"/>
          <w:szCs w:val="24"/>
        </w:rPr>
        <w:t>,</w:t>
      </w:r>
      <w:r>
        <w:rPr>
          <w:rFonts w:ascii="Times New Roman" w:hAnsi="Times New Roman"/>
          <w:sz w:val="24"/>
          <w:szCs w:val="24"/>
        </w:rPr>
        <w:t>9</w:t>
      </w:r>
      <w:r w:rsidRPr="001667B9">
        <w:rPr>
          <w:rFonts w:ascii="Times New Roman" w:hAnsi="Times New Roman"/>
          <w:sz w:val="24"/>
          <w:szCs w:val="24"/>
        </w:rPr>
        <w:t xml:space="preserve"> тыс. рублей, что на </w:t>
      </w:r>
      <w:r>
        <w:rPr>
          <w:rFonts w:ascii="Times New Roman" w:hAnsi="Times New Roman"/>
          <w:sz w:val="24"/>
          <w:szCs w:val="24"/>
        </w:rPr>
        <w:t>2597</w:t>
      </w:r>
      <w:r w:rsidRPr="001667B9">
        <w:rPr>
          <w:rFonts w:ascii="Times New Roman" w:hAnsi="Times New Roman"/>
          <w:sz w:val="24"/>
          <w:szCs w:val="24"/>
        </w:rPr>
        <w:t>,</w:t>
      </w:r>
      <w:r>
        <w:rPr>
          <w:rFonts w:ascii="Times New Roman" w:hAnsi="Times New Roman"/>
          <w:sz w:val="24"/>
          <w:szCs w:val="24"/>
        </w:rPr>
        <w:t>5</w:t>
      </w:r>
      <w:r w:rsidRPr="001667B9">
        <w:rPr>
          <w:rFonts w:ascii="Times New Roman" w:hAnsi="Times New Roman"/>
          <w:sz w:val="24"/>
          <w:szCs w:val="24"/>
        </w:rPr>
        <w:t xml:space="preserve"> тыс. рублей, или </w:t>
      </w:r>
      <w:r>
        <w:rPr>
          <w:rFonts w:ascii="Times New Roman" w:hAnsi="Times New Roman"/>
          <w:sz w:val="24"/>
          <w:szCs w:val="24"/>
        </w:rPr>
        <w:t>5,0</w:t>
      </w:r>
      <w:r w:rsidRPr="00E52D80">
        <w:rPr>
          <w:rFonts w:ascii="Times New Roman" w:hAnsi="Times New Roman"/>
          <w:sz w:val="24"/>
          <w:szCs w:val="24"/>
        </w:rPr>
        <w:t xml:space="preserve"> процента</w:t>
      </w:r>
      <w:r>
        <w:rPr>
          <w:rFonts w:ascii="Times New Roman" w:hAnsi="Times New Roman"/>
          <w:sz w:val="24"/>
          <w:szCs w:val="24"/>
        </w:rPr>
        <w:t>,</w:t>
      </w:r>
      <w:r w:rsidRPr="00E52D80">
        <w:rPr>
          <w:rFonts w:ascii="Times New Roman" w:hAnsi="Times New Roman"/>
          <w:sz w:val="24"/>
          <w:szCs w:val="24"/>
        </w:rPr>
        <w:t xml:space="preserve"> ниже оценки ожидаемого исполнения</w:t>
      </w:r>
      <w:r>
        <w:rPr>
          <w:rFonts w:ascii="Times New Roman" w:hAnsi="Times New Roman"/>
          <w:sz w:val="24"/>
          <w:szCs w:val="24"/>
        </w:rPr>
        <w:t xml:space="preserve"> </w:t>
      </w:r>
      <w:r w:rsidRPr="00E52D80">
        <w:rPr>
          <w:rFonts w:ascii="Times New Roman" w:hAnsi="Times New Roman"/>
          <w:iCs/>
          <w:sz w:val="24"/>
          <w:szCs w:val="24"/>
        </w:rPr>
        <w:t>2014 года,</w:t>
      </w:r>
      <w:r w:rsidRPr="00E52D80">
        <w:rPr>
          <w:rFonts w:ascii="Times New Roman" w:hAnsi="Times New Roman"/>
          <w:b/>
          <w:sz w:val="24"/>
          <w:szCs w:val="24"/>
        </w:rPr>
        <w:t xml:space="preserve"> </w:t>
      </w:r>
      <w:r w:rsidRPr="00E52D80">
        <w:rPr>
          <w:rFonts w:ascii="Times New Roman" w:hAnsi="Times New Roman"/>
          <w:sz w:val="24"/>
          <w:szCs w:val="24"/>
        </w:rPr>
        <w:t>на 2016 год в сумме 50844,5 т</w:t>
      </w:r>
      <w:r w:rsidRPr="001667B9">
        <w:rPr>
          <w:rFonts w:ascii="Times New Roman" w:hAnsi="Times New Roman"/>
          <w:sz w:val="24"/>
          <w:szCs w:val="24"/>
        </w:rPr>
        <w:t xml:space="preserve">ыс. </w:t>
      </w:r>
      <w:r w:rsidRPr="006120B8">
        <w:rPr>
          <w:rFonts w:ascii="Times New Roman" w:hAnsi="Times New Roman"/>
          <w:sz w:val="24"/>
          <w:szCs w:val="24"/>
        </w:rPr>
        <w:t xml:space="preserve">рублей (уменьшение на 3319,9 тыс. рублей, или </w:t>
      </w:r>
      <w:r>
        <w:rPr>
          <w:rFonts w:ascii="Times New Roman" w:hAnsi="Times New Roman"/>
          <w:sz w:val="24"/>
          <w:szCs w:val="24"/>
        </w:rPr>
        <w:br/>
      </w:r>
      <w:r w:rsidRPr="006120B8">
        <w:rPr>
          <w:rFonts w:ascii="Times New Roman" w:hAnsi="Times New Roman"/>
          <w:sz w:val="24"/>
          <w:szCs w:val="24"/>
        </w:rPr>
        <w:t xml:space="preserve">6,5 процента) </w:t>
      </w:r>
      <w:r>
        <w:rPr>
          <w:rFonts w:ascii="Times New Roman" w:hAnsi="Times New Roman"/>
          <w:sz w:val="24"/>
          <w:szCs w:val="24"/>
        </w:rPr>
        <w:t>и</w:t>
      </w:r>
      <w:r w:rsidRPr="001667B9">
        <w:rPr>
          <w:rFonts w:ascii="Times New Roman" w:hAnsi="Times New Roman"/>
          <w:sz w:val="24"/>
          <w:szCs w:val="24"/>
        </w:rPr>
        <w:t xml:space="preserve"> на 201</w:t>
      </w:r>
      <w:r>
        <w:rPr>
          <w:rFonts w:ascii="Times New Roman" w:hAnsi="Times New Roman"/>
          <w:sz w:val="24"/>
          <w:szCs w:val="24"/>
        </w:rPr>
        <w:t>7</w:t>
      </w:r>
      <w:r w:rsidRPr="001667B9">
        <w:rPr>
          <w:rFonts w:ascii="Times New Roman" w:hAnsi="Times New Roman"/>
          <w:sz w:val="24"/>
          <w:szCs w:val="24"/>
        </w:rPr>
        <w:t xml:space="preserve"> год в сумме </w:t>
      </w:r>
      <w:r>
        <w:rPr>
          <w:rFonts w:ascii="Times New Roman" w:hAnsi="Times New Roman"/>
          <w:sz w:val="24"/>
          <w:szCs w:val="24"/>
        </w:rPr>
        <w:t>49384</w:t>
      </w:r>
      <w:r w:rsidRPr="001667B9">
        <w:rPr>
          <w:rFonts w:ascii="Times New Roman" w:hAnsi="Times New Roman"/>
          <w:sz w:val="24"/>
          <w:szCs w:val="24"/>
        </w:rPr>
        <w:t>,</w:t>
      </w:r>
      <w:r>
        <w:rPr>
          <w:rFonts w:ascii="Times New Roman" w:hAnsi="Times New Roman"/>
          <w:sz w:val="24"/>
          <w:szCs w:val="24"/>
        </w:rPr>
        <w:t>1</w:t>
      </w:r>
      <w:r w:rsidRPr="001667B9">
        <w:rPr>
          <w:rFonts w:ascii="Times New Roman" w:hAnsi="Times New Roman"/>
          <w:sz w:val="24"/>
          <w:szCs w:val="24"/>
        </w:rPr>
        <w:t xml:space="preserve"> тыс. рублей</w:t>
      </w:r>
      <w:r>
        <w:rPr>
          <w:rFonts w:ascii="Times New Roman" w:hAnsi="Times New Roman"/>
          <w:sz w:val="24"/>
          <w:szCs w:val="24"/>
        </w:rPr>
        <w:t xml:space="preserve"> </w:t>
      </w:r>
      <w:r w:rsidRPr="00AE73E6">
        <w:rPr>
          <w:rFonts w:ascii="Times New Roman" w:hAnsi="Times New Roman"/>
          <w:sz w:val="24"/>
          <w:szCs w:val="24"/>
        </w:rPr>
        <w:t>(уменьшение на 4780,3 тыс. рублей, или 9,7 процента</w:t>
      </w:r>
      <w:r w:rsidR="003925EC">
        <w:rPr>
          <w:rFonts w:ascii="Times New Roman" w:hAnsi="Times New Roman"/>
          <w:b/>
          <w:sz w:val="24"/>
          <w:szCs w:val="24"/>
        </w:rPr>
        <w:t>).</w:t>
      </w:r>
    </w:p>
    <w:p w:rsidR="00000921" w:rsidRPr="00E54EAB" w:rsidRDefault="00000921" w:rsidP="00000921">
      <w:pPr>
        <w:spacing w:after="0" w:line="240" w:lineRule="auto"/>
        <w:ind w:firstLine="709"/>
        <w:jc w:val="both"/>
        <w:rPr>
          <w:rFonts w:ascii="Times New Roman" w:hAnsi="Times New Roman"/>
          <w:sz w:val="24"/>
          <w:szCs w:val="24"/>
        </w:rPr>
      </w:pPr>
      <w:r w:rsidRPr="00E54EAB">
        <w:rPr>
          <w:rFonts w:ascii="Times New Roman" w:hAnsi="Times New Roman"/>
          <w:sz w:val="24"/>
          <w:szCs w:val="24"/>
        </w:rPr>
        <w:t>Основные поступления указанных доходов формируются за счет:</w:t>
      </w:r>
    </w:p>
    <w:p w:rsidR="00000921" w:rsidRPr="0042104F" w:rsidRDefault="00000921" w:rsidP="00DA5F4F">
      <w:pPr>
        <w:numPr>
          <w:ilvl w:val="0"/>
          <w:numId w:val="3"/>
        </w:numPr>
        <w:spacing w:after="0" w:line="240" w:lineRule="auto"/>
        <w:ind w:firstLine="709"/>
        <w:jc w:val="both"/>
        <w:rPr>
          <w:rFonts w:ascii="Times New Roman" w:hAnsi="Times New Roman"/>
          <w:b/>
          <w:sz w:val="24"/>
          <w:szCs w:val="24"/>
        </w:rPr>
      </w:pPr>
      <w:r w:rsidRPr="0042104F">
        <w:rPr>
          <w:rFonts w:ascii="Times New Roman" w:hAnsi="Times New Roman"/>
          <w:b/>
          <w:sz w:val="24"/>
          <w:szCs w:val="24"/>
        </w:rPr>
        <w:t>доходов</w:t>
      </w:r>
      <w:r w:rsidRPr="0042104F">
        <w:rPr>
          <w:rFonts w:ascii="Times New Roman" w:hAnsi="Times New Roman"/>
          <w:sz w:val="24"/>
          <w:szCs w:val="24"/>
        </w:rPr>
        <w:t xml:space="preserve"> </w:t>
      </w:r>
      <w:r w:rsidRPr="0042104F">
        <w:rPr>
          <w:rFonts w:ascii="Times New Roman" w:hAnsi="Times New Roman"/>
          <w:b/>
          <w:sz w:val="24"/>
          <w:szCs w:val="24"/>
        </w:rPr>
        <w:t xml:space="preserve">в виде прибыли, приходящейся на доли в уставных (складочных) капиталах хозяйственных товариществ и обществ, или дивидендов по акциям, </w:t>
      </w:r>
      <w:r w:rsidRPr="0042104F">
        <w:rPr>
          <w:rFonts w:ascii="Times New Roman" w:hAnsi="Times New Roman"/>
          <w:b/>
          <w:sz w:val="24"/>
          <w:szCs w:val="24"/>
        </w:rPr>
        <w:lastRenderedPageBreak/>
        <w:t>принадлежащим субъектам Российской Федерации,</w:t>
      </w:r>
      <w:r w:rsidRPr="0042104F">
        <w:rPr>
          <w:rFonts w:ascii="Times New Roman" w:hAnsi="Times New Roman"/>
          <w:sz w:val="24"/>
          <w:szCs w:val="24"/>
        </w:rPr>
        <w:t xml:space="preserve"> прогнозируемых в законопроекте в размере </w:t>
      </w:r>
      <w:r w:rsidRPr="0029265D">
        <w:rPr>
          <w:rFonts w:ascii="Times New Roman" w:hAnsi="Times New Roman"/>
          <w:b/>
          <w:sz w:val="24"/>
          <w:szCs w:val="24"/>
        </w:rPr>
        <w:t xml:space="preserve">500,0 тыс. рублей, что ниже оценки ожидаемого исполнения 2014 года на </w:t>
      </w:r>
      <w:r w:rsidRPr="0029265D">
        <w:rPr>
          <w:rFonts w:ascii="Times New Roman" w:hAnsi="Times New Roman"/>
          <w:b/>
          <w:sz w:val="24"/>
          <w:szCs w:val="24"/>
        </w:rPr>
        <w:br/>
        <w:t>3387,0 тыс. рублей, и свидетельствует о наличии резерва по данному виду доходов</w:t>
      </w:r>
      <w:r>
        <w:rPr>
          <w:rFonts w:ascii="Times New Roman" w:hAnsi="Times New Roman"/>
          <w:sz w:val="24"/>
          <w:szCs w:val="24"/>
        </w:rPr>
        <w:t>.</w:t>
      </w:r>
      <w:r w:rsidRPr="0042104F">
        <w:rPr>
          <w:rFonts w:ascii="Times New Roman" w:hAnsi="Times New Roman"/>
          <w:b/>
          <w:sz w:val="24"/>
          <w:szCs w:val="24"/>
        </w:rPr>
        <w:t xml:space="preserve"> </w:t>
      </w:r>
      <w:r w:rsidRPr="0042104F">
        <w:rPr>
          <w:rFonts w:ascii="Times New Roman" w:hAnsi="Times New Roman"/>
          <w:sz w:val="24"/>
          <w:szCs w:val="24"/>
        </w:rPr>
        <w:t>Прогноз доходов в 2016 году – 550,0 тыс. рублей, в</w:t>
      </w:r>
      <w:r w:rsidR="003925EC">
        <w:rPr>
          <w:rFonts w:ascii="Times New Roman" w:hAnsi="Times New Roman"/>
          <w:sz w:val="24"/>
          <w:szCs w:val="24"/>
        </w:rPr>
        <w:t xml:space="preserve"> 2017 году - 600,0 тыс. рублей.</w:t>
      </w:r>
    </w:p>
    <w:p w:rsidR="00000921" w:rsidRPr="00304EC7" w:rsidRDefault="00000921" w:rsidP="00DA5F4F">
      <w:pPr>
        <w:numPr>
          <w:ilvl w:val="0"/>
          <w:numId w:val="1"/>
        </w:numPr>
        <w:spacing w:after="0" w:line="240" w:lineRule="auto"/>
        <w:ind w:firstLine="709"/>
        <w:jc w:val="both"/>
        <w:rPr>
          <w:rFonts w:ascii="Times New Roman" w:hAnsi="Times New Roman"/>
          <w:sz w:val="24"/>
          <w:szCs w:val="24"/>
        </w:rPr>
      </w:pPr>
      <w:r w:rsidRPr="00304EC7">
        <w:rPr>
          <w:rFonts w:ascii="Times New Roman" w:hAnsi="Times New Roman"/>
          <w:b/>
          <w:sz w:val="24"/>
          <w:szCs w:val="24"/>
        </w:rPr>
        <w:t>процентов, полученных от предоставления бюджетных кредитов внутри страны за счет средств бюджетов субъектов Российской Федерации</w:t>
      </w:r>
      <w:r w:rsidRPr="00304EC7">
        <w:rPr>
          <w:rFonts w:ascii="Times New Roman" w:hAnsi="Times New Roman"/>
          <w:sz w:val="24"/>
          <w:szCs w:val="24"/>
        </w:rPr>
        <w:t xml:space="preserve"> - в размере </w:t>
      </w:r>
      <w:r w:rsidRPr="00304EC7">
        <w:rPr>
          <w:rFonts w:ascii="Times New Roman" w:hAnsi="Times New Roman"/>
          <w:sz w:val="24"/>
          <w:szCs w:val="24"/>
        </w:rPr>
        <w:br/>
        <w:t xml:space="preserve">5862,5 тыс. рублей в 2015 году, 4642,7 тыс. рублей в 2016 году, 2779,9 тыс. рублей </w:t>
      </w:r>
      <w:r w:rsidRPr="00304EC7">
        <w:rPr>
          <w:rFonts w:ascii="Times New Roman" w:hAnsi="Times New Roman"/>
          <w:sz w:val="24"/>
          <w:szCs w:val="24"/>
        </w:rPr>
        <w:br/>
        <w:t>в 2017 году, в том числе:</w:t>
      </w:r>
    </w:p>
    <w:p w:rsidR="00000921" w:rsidRPr="00304EC7" w:rsidRDefault="00000921" w:rsidP="00000921">
      <w:pPr>
        <w:spacing w:after="0" w:line="240" w:lineRule="auto"/>
        <w:ind w:firstLine="709"/>
        <w:jc w:val="both"/>
        <w:rPr>
          <w:rFonts w:ascii="Times New Roman" w:hAnsi="Times New Roman"/>
          <w:sz w:val="24"/>
          <w:szCs w:val="24"/>
        </w:rPr>
      </w:pPr>
      <w:r w:rsidRPr="00304EC7">
        <w:rPr>
          <w:rFonts w:ascii="Times New Roman" w:hAnsi="Times New Roman"/>
          <w:sz w:val="24"/>
          <w:szCs w:val="24"/>
        </w:rPr>
        <w:t xml:space="preserve">-проценты, полученные от предоставления бюджетных кредитов ГУП Амурской области «Агро» на кредитование сезонных затрат в сельском хозяйстве в размере </w:t>
      </w:r>
      <w:r w:rsidRPr="00304EC7">
        <w:rPr>
          <w:rFonts w:ascii="Times New Roman" w:hAnsi="Times New Roman"/>
          <w:sz w:val="24"/>
          <w:szCs w:val="24"/>
        </w:rPr>
        <w:br/>
        <w:t>2181,3 тыс. рублей в 2015 году, 961,5 тыс. рублей в 2016 году;</w:t>
      </w:r>
    </w:p>
    <w:p w:rsidR="00000921" w:rsidRPr="00304EC7" w:rsidRDefault="00000921" w:rsidP="00000921">
      <w:pPr>
        <w:spacing w:after="0" w:line="240" w:lineRule="auto"/>
        <w:ind w:firstLine="709"/>
        <w:jc w:val="both"/>
        <w:rPr>
          <w:rFonts w:ascii="Times New Roman" w:hAnsi="Times New Roman"/>
          <w:sz w:val="24"/>
          <w:szCs w:val="24"/>
        </w:rPr>
      </w:pPr>
      <w:r w:rsidRPr="00304EC7">
        <w:rPr>
          <w:rFonts w:ascii="Times New Roman" w:hAnsi="Times New Roman"/>
          <w:sz w:val="24"/>
          <w:szCs w:val="24"/>
        </w:rPr>
        <w:t xml:space="preserve">-проценты, полученные от предоставления бюджетных кредитов, предоставленных для частичного покрытия дефицитов бюджетов муниципальных районов, городских округов, возврат которых осуществляется муниципальными районами, городскими округами на условиях реструктуризации задолженности по указанным бюджетным кредитам в размере </w:t>
      </w:r>
      <w:r>
        <w:rPr>
          <w:rFonts w:ascii="Times New Roman" w:hAnsi="Times New Roman"/>
          <w:sz w:val="24"/>
          <w:szCs w:val="24"/>
        </w:rPr>
        <w:t xml:space="preserve">по </w:t>
      </w:r>
      <w:r w:rsidRPr="00304EC7">
        <w:rPr>
          <w:rFonts w:ascii="Times New Roman" w:hAnsi="Times New Roman"/>
          <w:sz w:val="24"/>
          <w:szCs w:val="24"/>
        </w:rPr>
        <w:t xml:space="preserve">3681,2 </w:t>
      </w:r>
      <w:r>
        <w:rPr>
          <w:rFonts w:ascii="Times New Roman" w:hAnsi="Times New Roman"/>
          <w:sz w:val="24"/>
          <w:szCs w:val="24"/>
        </w:rPr>
        <w:t xml:space="preserve">тыс. рублей </w:t>
      </w:r>
      <w:r w:rsidRPr="00304EC7">
        <w:rPr>
          <w:rFonts w:ascii="Times New Roman" w:hAnsi="Times New Roman"/>
          <w:sz w:val="24"/>
          <w:szCs w:val="24"/>
        </w:rPr>
        <w:t>в 2015 и 2016 годах и 2779,9 тыс. рублей в 2017 году.</w:t>
      </w:r>
    </w:p>
    <w:p w:rsidR="00000921" w:rsidRPr="00304EC7" w:rsidRDefault="00000921" w:rsidP="00000921">
      <w:pPr>
        <w:spacing w:after="0" w:line="240" w:lineRule="auto"/>
        <w:ind w:firstLine="709"/>
        <w:jc w:val="both"/>
        <w:rPr>
          <w:rFonts w:ascii="Times New Roman" w:hAnsi="Times New Roman"/>
          <w:sz w:val="24"/>
          <w:szCs w:val="24"/>
        </w:rPr>
      </w:pPr>
      <w:r w:rsidRPr="00304EC7">
        <w:rPr>
          <w:rFonts w:ascii="Times New Roman" w:hAnsi="Times New Roman"/>
          <w:sz w:val="24"/>
          <w:szCs w:val="24"/>
        </w:rPr>
        <w:t>Прогнозируемые суммы поступлений определены администраторами указанных доходов исходя из размера остатков непогашенной задолженности и сроков возврата предоставленных кредитов;</w:t>
      </w:r>
    </w:p>
    <w:p w:rsidR="00000921" w:rsidRPr="0042104F" w:rsidRDefault="00000921" w:rsidP="00DA5F4F">
      <w:pPr>
        <w:numPr>
          <w:ilvl w:val="0"/>
          <w:numId w:val="1"/>
        </w:numPr>
        <w:spacing w:after="0" w:line="240" w:lineRule="auto"/>
        <w:ind w:firstLine="709"/>
        <w:jc w:val="both"/>
        <w:rPr>
          <w:rFonts w:ascii="Times New Roman" w:hAnsi="Times New Roman"/>
          <w:sz w:val="24"/>
          <w:szCs w:val="24"/>
        </w:rPr>
      </w:pPr>
      <w:r w:rsidRPr="00D32D57">
        <w:rPr>
          <w:rFonts w:ascii="Times New Roman" w:hAnsi="Times New Roman"/>
          <w:b/>
          <w:sz w:val="24"/>
          <w:szCs w:val="24"/>
        </w:rPr>
        <w:t xml:space="preserve">доходов, получаемых в виде арендной либо иной платы за передачу в возмездное пользование государственного имущества (за исключением имущества бюджетных и автономных учреждений, а также имущества государственных унитарных предприятий, в том числе казенных) - </w:t>
      </w:r>
      <w:r w:rsidRPr="00D32D57">
        <w:rPr>
          <w:rFonts w:ascii="Times New Roman" w:hAnsi="Times New Roman"/>
          <w:sz w:val="24"/>
          <w:szCs w:val="24"/>
        </w:rPr>
        <w:t xml:space="preserve">прогнозируемых в законопроекте в размере 44179,2 тыс. рублей, что выше </w:t>
      </w:r>
      <w:r w:rsidRPr="0042104F">
        <w:rPr>
          <w:rFonts w:ascii="Times New Roman" w:hAnsi="Times New Roman"/>
          <w:sz w:val="24"/>
          <w:szCs w:val="24"/>
        </w:rPr>
        <w:t xml:space="preserve">оценки ожидаемого исполнения 2014 года на </w:t>
      </w:r>
      <w:r>
        <w:rPr>
          <w:rFonts w:ascii="Times New Roman" w:hAnsi="Times New Roman"/>
          <w:sz w:val="24"/>
          <w:szCs w:val="24"/>
        </w:rPr>
        <w:br/>
      </w:r>
      <w:r w:rsidRPr="0042104F">
        <w:rPr>
          <w:rFonts w:ascii="Times New Roman" w:hAnsi="Times New Roman"/>
          <w:sz w:val="24"/>
          <w:szCs w:val="24"/>
        </w:rPr>
        <w:t>1426,6 тыс. рублей, или 3,2 процента, в том числе:</w:t>
      </w:r>
    </w:p>
    <w:p w:rsidR="00000921" w:rsidRDefault="00000921" w:rsidP="00000921">
      <w:pPr>
        <w:tabs>
          <w:tab w:val="left" w:pos="9356"/>
        </w:tabs>
        <w:spacing w:after="0" w:line="240" w:lineRule="auto"/>
        <w:ind w:firstLine="709"/>
        <w:jc w:val="both"/>
        <w:rPr>
          <w:rFonts w:ascii="TimesNewRomanPSMT" w:eastAsiaTheme="minorHAnsi" w:hAnsi="TimesNewRomanPSMT" w:cs="TimesNewRomanPSMT"/>
          <w:sz w:val="24"/>
          <w:szCs w:val="24"/>
          <w:lang w:eastAsia="en-US"/>
        </w:rPr>
      </w:pPr>
      <w:r w:rsidRPr="0042104F">
        <w:rPr>
          <w:rFonts w:ascii="Times New Roman" w:hAnsi="Times New Roman"/>
          <w:sz w:val="24"/>
          <w:szCs w:val="24"/>
        </w:rPr>
        <w:t xml:space="preserve">-доходы от сдачи в аренду имущества, находящегося </w:t>
      </w:r>
      <w:r w:rsidRPr="005A04AC">
        <w:rPr>
          <w:rFonts w:ascii="Times New Roman" w:hAnsi="Times New Roman"/>
          <w:sz w:val="24"/>
          <w:szCs w:val="24"/>
        </w:rPr>
        <w:t xml:space="preserve">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на основании заключенных договоров аренды имущества, находящегося в оперативном управлении органов государственной власти Амурской области </w:t>
      </w:r>
      <w:r>
        <w:rPr>
          <w:rFonts w:ascii="Times New Roman" w:hAnsi="Times New Roman"/>
          <w:sz w:val="24"/>
          <w:szCs w:val="24"/>
        </w:rPr>
        <w:t xml:space="preserve">планируются </w:t>
      </w:r>
      <w:r w:rsidRPr="005A04AC">
        <w:rPr>
          <w:rFonts w:ascii="Times New Roman" w:hAnsi="Times New Roman"/>
          <w:sz w:val="24"/>
          <w:szCs w:val="24"/>
        </w:rPr>
        <w:t xml:space="preserve">в размере 5579,2 тыс. рублей в 2015 году, 5746,6 тыс. рублей в 2016 году, 5929,0 тыс. рублей в 2017 году. </w:t>
      </w:r>
      <w:r>
        <w:rPr>
          <w:rFonts w:ascii="TimesNewRomanPSMT" w:eastAsiaTheme="minorHAnsi" w:hAnsi="TimesNewRomanPSMT" w:cs="TimesNewRomanPSMT"/>
          <w:sz w:val="24"/>
          <w:szCs w:val="24"/>
          <w:lang w:eastAsia="en-US"/>
        </w:rPr>
        <w:t>Прогнозные показатели на 2016-2017 годы определялись путем индексации полученных значений 2015 года на индексы роста потребительских цен;</w:t>
      </w:r>
    </w:p>
    <w:p w:rsidR="00000921" w:rsidRPr="007B3D9B" w:rsidRDefault="00000921" w:rsidP="00000921">
      <w:pPr>
        <w:spacing w:after="0" w:line="240" w:lineRule="auto"/>
        <w:ind w:firstLine="709"/>
        <w:jc w:val="both"/>
        <w:rPr>
          <w:rFonts w:ascii="Times New Roman" w:hAnsi="Times New Roman"/>
          <w:sz w:val="24"/>
          <w:szCs w:val="24"/>
        </w:rPr>
      </w:pPr>
      <w:r w:rsidRPr="007B3D9B">
        <w:rPr>
          <w:rFonts w:ascii="Times New Roman" w:hAnsi="Times New Roman"/>
          <w:sz w:val="24"/>
          <w:szCs w:val="24"/>
        </w:rPr>
        <w:t>-доходы, получаемые в виде арендной платы, а также средств от продажи права на заключение договоров аренды на земли, находящиеся в собственности Амурской области (за исключением земельных участков бюджетных и автономных учреждений субъектов Российской Федерации) по данным администратора доходов областного бюджета – министерства имущественных отношений Амурской области планируются на 2015 год в размере 38600,0 тыс. рублей. Уменьшение доходов, по сравнению с ожидаемой оценкой текущего года, ожидается и от продажи права на заключение договоров аренды земель сельскохозяйственного назначения. Это связано с тем, что земельные участки, находящиеся в южных районах области (Константиновский, Тамбовский, Ивановский, Благовещенский, Архаринский)</w:t>
      </w:r>
      <w:r>
        <w:rPr>
          <w:rFonts w:ascii="Times New Roman" w:hAnsi="Times New Roman"/>
          <w:sz w:val="24"/>
          <w:szCs w:val="24"/>
        </w:rPr>
        <w:t>,</w:t>
      </w:r>
      <w:r w:rsidRPr="007B3D9B">
        <w:rPr>
          <w:rFonts w:ascii="Times New Roman" w:hAnsi="Times New Roman"/>
          <w:sz w:val="24"/>
          <w:szCs w:val="24"/>
        </w:rPr>
        <w:t xml:space="preserve"> в основном переданы в аренду, а северные районы области (Сковородинский, Магдагачинский) являются зоной рискованного земледелия и поэтому характеризуются низкой привлекательностью. Эффективность использования этих земель невысокая. Всего ожидается получить доходов от сдачи в аренду земельных участков в 2016 году на сумму 38700,0 тыс. рублей, в 2017 году на сумму 38800,0 тыс. рублей;</w:t>
      </w:r>
    </w:p>
    <w:p w:rsidR="00000921" w:rsidRPr="007B7960" w:rsidRDefault="00000921" w:rsidP="00DA5F4F">
      <w:pPr>
        <w:pStyle w:val="ad"/>
        <w:numPr>
          <w:ilvl w:val="0"/>
          <w:numId w:val="2"/>
        </w:numPr>
        <w:spacing w:after="0" w:line="240" w:lineRule="auto"/>
        <w:jc w:val="both"/>
        <w:rPr>
          <w:rFonts w:ascii="Times New Roman" w:hAnsi="Times New Roman"/>
          <w:sz w:val="24"/>
          <w:szCs w:val="24"/>
        </w:rPr>
      </w:pPr>
      <w:r w:rsidRPr="007B7960">
        <w:rPr>
          <w:rFonts w:ascii="Times New Roman" w:hAnsi="Times New Roman"/>
          <w:b/>
          <w:sz w:val="24"/>
          <w:szCs w:val="24"/>
        </w:rPr>
        <w:t>-платежей от государственных унитарных предприятий</w:t>
      </w:r>
      <w:r w:rsidRPr="007B7960">
        <w:rPr>
          <w:rFonts w:ascii="Times New Roman" w:hAnsi="Times New Roman"/>
          <w:sz w:val="24"/>
          <w:szCs w:val="24"/>
        </w:rPr>
        <w:t xml:space="preserve"> (в их составе 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 прогнозируемых на 2015 год в сумме 980,0 тыс. рублей, что ниже оценки ожидаемого исполнения 2014 года на 2418,3 </w:t>
      </w:r>
      <w:r w:rsidRPr="007B7960">
        <w:rPr>
          <w:rFonts w:ascii="Times New Roman" w:hAnsi="Times New Roman"/>
          <w:iCs/>
          <w:sz w:val="24"/>
          <w:szCs w:val="24"/>
        </w:rPr>
        <w:t>тыс. рублей, или в 3,5 раза,</w:t>
      </w:r>
      <w:r w:rsidRPr="007B7960">
        <w:rPr>
          <w:rFonts w:ascii="Times New Roman" w:hAnsi="Times New Roman"/>
          <w:sz w:val="24"/>
          <w:szCs w:val="24"/>
        </w:rPr>
        <w:t xml:space="preserve"> и свидетельствует о наличии </w:t>
      </w:r>
      <w:r w:rsidRPr="007B7960">
        <w:rPr>
          <w:rFonts w:ascii="Times New Roman" w:hAnsi="Times New Roman"/>
          <w:sz w:val="24"/>
          <w:szCs w:val="24"/>
        </w:rPr>
        <w:lastRenderedPageBreak/>
        <w:t>резерва по данному виду доходов.</w:t>
      </w:r>
      <w:r w:rsidRPr="007B7960">
        <w:rPr>
          <w:rFonts w:ascii="Times New Roman" w:hAnsi="Times New Roman"/>
          <w:b/>
          <w:sz w:val="24"/>
          <w:szCs w:val="24"/>
        </w:rPr>
        <w:t xml:space="preserve"> </w:t>
      </w:r>
      <w:r w:rsidRPr="007B7960">
        <w:rPr>
          <w:rFonts w:ascii="Times New Roman" w:hAnsi="Times New Roman"/>
          <w:sz w:val="24"/>
          <w:szCs w:val="24"/>
        </w:rPr>
        <w:t>Бюджетные назначения определены в сумме 1160,0 тыс. рублей в 2016 году и 1230,0 тыс. рублей в 2017 году;</w:t>
      </w:r>
    </w:p>
    <w:p w:rsidR="00000921" w:rsidRPr="0088225F" w:rsidRDefault="00000921" w:rsidP="00DA5F4F">
      <w:pPr>
        <w:numPr>
          <w:ilvl w:val="0"/>
          <w:numId w:val="2"/>
        </w:numPr>
        <w:spacing w:after="0" w:line="240" w:lineRule="auto"/>
        <w:ind w:firstLine="709"/>
        <w:jc w:val="both"/>
        <w:rPr>
          <w:rFonts w:ascii="Times New Roman" w:hAnsi="Times New Roman"/>
          <w:sz w:val="24"/>
          <w:szCs w:val="24"/>
        </w:rPr>
      </w:pPr>
      <w:r w:rsidRPr="0088225F">
        <w:rPr>
          <w:rFonts w:ascii="Times New Roman" w:hAnsi="Times New Roman"/>
          <w:b/>
          <w:sz w:val="24"/>
          <w:szCs w:val="24"/>
        </w:rPr>
        <w:t xml:space="preserve">прочих доходов от использования имущества и прав, </w:t>
      </w:r>
      <w:r>
        <w:rPr>
          <w:rFonts w:ascii="Times New Roman" w:hAnsi="Times New Roman"/>
          <w:b/>
          <w:sz w:val="24"/>
          <w:szCs w:val="24"/>
        </w:rPr>
        <w:t xml:space="preserve">находящихся в государственной </w:t>
      </w:r>
      <w:r w:rsidRPr="0088225F">
        <w:rPr>
          <w:rFonts w:ascii="Times New Roman" w:hAnsi="Times New Roman"/>
          <w:b/>
          <w:sz w:val="24"/>
          <w:szCs w:val="24"/>
        </w:rPr>
        <w:t xml:space="preserve">собственности (за исключением имущества бюджетных и автономных учреждений, а также имущества государственных унитарных предприятий, в том числе казенных) - </w:t>
      </w:r>
      <w:r w:rsidRPr="0088225F">
        <w:rPr>
          <w:rFonts w:ascii="Times New Roman" w:hAnsi="Times New Roman"/>
          <w:sz w:val="24"/>
          <w:szCs w:val="24"/>
        </w:rPr>
        <w:t xml:space="preserve">предусмотренных в законопроекте в сумме 45,2 тыс. рублей ежегодно на </w:t>
      </w:r>
      <w:r>
        <w:rPr>
          <w:rFonts w:ascii="Times New Roman" w:hAnsi="Times New Roman"/>
          <w:sz w:val="24"/>
          <w:szCs w:val="24"/>
        </w:rPr>
        <w:br/>
      </w:r>
      <w:r w:rsidRPr="0088225F">
        <w:rPr>
          <w:rFonts w:ascii="Times New Roman" w:hAnsi="Times New Roman"/>
          <w:sz w:val="24"/>
          <w:szCs w:val="24"/>
        </w:rPr>
        <w:t>2015–2017 годы за право ограниченного пользования частью земельного участка (сервитут).</w:t>
      </w:r>
    </w:p>
    <w:p w:rsidR="00000921" w:rsidRDefault="00000921" w:rsidP="00000921">
      <w:pPr>
        <w:spacing w:after="0" w:line="240" w:lineRule="auto"/>
        <w:ind w:firstLine="709"/>
        <w:jc w:val="both"/>
        <w:rPr>
          <w:rFonts w:ascii="Times New Roman" w:hAnsi="Times New Roman"/>
          <w:sz w:val="24"/>
          <w:szCs w:val="24"/>
        </w:rPr>
      </w:pPr>
      <w:r w:rsidRPr="0088225F">
        <w:rPr>
          <w:rFonts w:ascii="Times New Roman" w:hAnsi="Times New Roman"/>
          <w:sz w:val="24"/>
          <w:szCs w:val="24"/>
        </w:rPr>
        <w:t>Структура доходов от использования имущества, находящегося в государственной собственности Амурской области, на 201</w:t>
      </w:r>
      <w:r>
        <w:rPr>
          <w:rFonts w:ascii="Times New Roman" w:hAnsi="Times New Roman"/>
          <w:sz w:val="24"/>
          <w:szCs w:val="24"/>
        </w:rPr>
        <w:t>5</w:t>
      </w:r>
      <w:r w:rsidRPr="0088225F">
        <w:rPr>
          <w:rFonts w:ascii="Times New Roman" w:hAnsi="Times New Roman"/>
          <w:sz w:val="24"/>
          <w:szCs w:val="24"/>
        </w:rPr>
        <w:t xml:space="preserve"> год представлена диаграммой </w:t>
      </w:r>
      <w:r w:rsidRPr="00907A83">
        <w:rPr>
          <w:rFonts w:ascii="Times New Roman" w:hAnsi="Times New Roman"/>
          <w:sz w:val="24"/>
          <w:szCs w:val="24"/>
        </w:rPr>
        <w:t>на рисунке 1</w:t>
      </w:r>
      <w:r>
        <w:rPr>
          <w:rFonts w:ascii="Times New Roman" w:hAnsi="Times New Roman"/>
          <w:sz w:val="24"/>
          <w:szCs w:val="24"/>
        </w:rPr>
        <w:t>4</w:t>
      </w:r>
      <w:r w:rsidRPr="00907A83">
        <w:rPr>
          <w:rFonts w:ascii="Times New Roman" w:hAnsi="Times New Roman"/>
          <w:sz w:val="24"/>
          <w:szCs w:val="24"/>
        </w:rPr>
        <w:t xml:space="preserve">. </w:t>
      </w:r>
      <w:r w:rsidRPr="0088225F">
        <w:rPr>
          <w:rFonts w:ascii="Times New Roman" w:hAnsi="Times New Roman"/>
          <w:sz w:val="24"/>
          <w:szCs w:val="24"/>
        </w:rPr>
        <w:t>Наибольший удельный вес в структуре доходов от использования имущества занимают</w:t>
      </w:r>
      <w:r w:rsidRPr="0088225F">
        <w:rPr>
          <w:rFonts w:ascii="Times New Roman" w:hAnsi="Times New Roman"/>
          <w:b/>
          <w:sz w:val="24"/>
          <w:szCs w:val="24"/>
        </w:rPr>
        <w:t xml:space="preserve"> </w:t>
      </w:r>
      <w:r w:rsidRPr="0088225F">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имущества (за исключением имущества бюджетных и автономных учреждений, а также имущества государственных унитарных предприятий, в том числе казенных) – 8</w:t>
      </w:r>
      <w:r>
        <w:rPr>
          <w:rFonts w:ascii="Times New Roman" w:hAnsi="Times New Roman"/>
          <w:sz w:val="24"/>
          <w:szCs w:val="24"/>
        </w:rPr>
        <w:t>5</w:t>
      </w:r>
      <w:r w:rsidRPr="0088225F">
        <w:rPr>
          <w:rFonts w:ascii="Times New Roman" w:hAnsi="Times New Roman"/>
          <w:sz w:val="24"/>
          <w:szCs w:val="24"/>
        </w:rPr>
        <w:t>,</w:t>
      </w:r>
      <w:r>
        <w:rPr>
          <w:rFonts w:ascii="Times New Roman" w:hAnsi="Times New Roman"/>
          <w:sz w:val="24"/>
          <w:szCs w:val="24"/>
        </w:rPr>
        <w:t>7</w:t>
      </w:r>
      <w:r w:rsidRPr="0088225F">
        <w:rPr>
          <w:rFonts w:ascii="Times New Roman" w:hAnsi="Times New Roman"/>
          <w:sz w:val="24"/>
          <w:szCs w:val="24"/>
        </w:rPr>
        <w:t xml:space="preserve"> процента.</w:t>
      </w:r>
    </w:p>
    <w:p w:rsidR="00A61C2A" w:rsidRPr="0088225F" w:rsidRDefault="00A61C2A" w:rsidP="00000921">
      <w:pPr>
        <w:spacing w:after="0" w:line="240" w:lineRule="auto"/>
        <w:ind w:firstLine="709"/>
        <w:jc w:val="both"/>
        <w:rPr>
          <w:rFonts w:ascii="Times New Roman" w:hAnsi="Times New Roman"/>
          <w:sz w:val="24"/>
          <w:szCs w:val="24"/>
        </w:rPr>
      </w:pPr>
    </w:p>
    <w:p w:rsidR="00000921" w:rsidRPr="001C59B5" w:rsidRDefault="00000921" w:rsidP="00000921">
      <w:pPr>
        <w:spacing w:after="0" w:line="240" w:lineRule="auto"/>
        <w:jc w:val="both"/>
        <w:rPr>
          <w:rFonts w:ascii="Times New Roman" w:hAnsi="Times New Roman"/>
          <w:color w:val="00B050"/>
          <w:sz w:val="24"/>
          <w:szCs w:val="24"/>
        </w:rPr>
      </w:pPr>
      <w:r w:rsidRPr="001C59B5">
        <w:rPr>
          <w:noProof/>
          <w:color w:val="00B050"/>
        </w:rPr>
        <w:drawing>
          <wp:inline distT="0" distB="0" distL="0" distR="0" wp14:anchorId="0AF0471C" wp14:editId="3EE4BF55">
            <wp:extent cx="5940425" cy="4028440"/>
            <wp:effectExtent l="0" t="0" r="22225" b="101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921" w:rsidRDefault="00000921" w:rsidP="00000921">
      <w:pPr>
        <w:spacing w:after="120"/>
        <w:ind w:left="284"/>
        <w:jc w:val="both"/>
        <w:rPr>
          <w:rFonts w:ascii="Times New Roman" w:hAnsi="Times New Roman"/>
          <w:b/>
          <w:sz w:val="24"/>
          <w:szCs w:val="24"/>
        </w:rPr>
      </w:pPr>
      <w:r w:rsidRPr="005B1AF6">
        <w:rPr>
          <w:rFonts w:ascii="Times New Roman" w:hAnsi="Times New Roman"/>
          <w:b/>
          <w:sz w:val="24"/>
          <w:szCs w:val="24"/>
        </w:rPr>
        <w:t>Рис. 1</w:t>
      </w:r>
      <w:r>
        <w:rPr>
          <w:rFonts w:ascii="Times New Roman" w:hAnsi="Times New Roman"/>
          <w:b/>
          <w:sz w:val="24"/>
          <w:szCs w:val="24"/>
        </w:rPr>
        <w:t>4</w:t>
      </w:r>
      <w:r w:rsidRPr="005B1AF6">
        <w:rPr>
          <w:rFonts w:ascii="Times New Roman" w:hAnsi="Times New Roman"/>
          <w:b/>
          <w:sz w:val="24"/>
          <w:szCs w:val="24"/>
        </w:rPr>
        <w:t xml:space="preserve"> - </w:t>
      </w:r>
      <w:r w:rsidRPr="00E57AF7">
        <w:rPr>
          <w:rFonts w:ascii="Times New Roman" w:hAnsi="Times New Roman"/>
          <w:b/>
          <w:sz w:val="24"/>
          <w:szCs w:val="24"/>
        </w:rPr>
        <w:t>Структура доходов от использования имущества, находящегося в государственной собственности Амурской области на 2015 год</w:t>
      </w:r>
    </w:p>
    <w:p w:rsidR="00000921" w:rsidRPr="00E34135" w:rsidRDefault="00000921" w:rsidP="00000921">
      <w:pPr>
        <w:pStyle w:val="a3"/>
        <w:ind w:firstLine="709"/>
        <w:rPr>
          <w:sz w:val="24"/>
          <w:szCs w:val="24"/>
        </w:rPr>
      </w:pPr>
      <w:r w:rsidRPr="00E34135">
        <w:rPr>
          <w:b/>
          <w:sz w:val="24"/>
          <w:szCs w:val="24"/>
        </w:rPr>
        <w:t xml:space="preserve">Доходы от продажи материальных и нематериальных активов </w:t>
      </w:r>
      <w:r w:rsidRPr="00E34135">
        <w:rPr>
          <w:sz w:val="24"/>
          <w:szCs w:val="24"/>
        </w:rPr>
        <w:t>в законопроекте предусмотрены на 2015-2017</w:t>
      </w:r>
      <w:r w:rsidRPr="00E34135">
        <w:rPr>
          <w:b/>
          <w:sz w:val="24"/>
          <w:szCs w:val="24"/>
        </w:rPr>
        <w:t xml:space="preserve"> </w:t>
      </w:r>
      <w:r w:rsidRPr="00E34135">
        <w:rPr>
          <w:sz w:val="24"/>
          <w:szCs w:val="24"/>
        </w:rPr>
        <w:t>годы в размере 120,0 тыс. рублей ежегодно, в том числе:</w:t>
      </w:r>
    </w:p>
    <w:p w:rsidR="00000921" w:rsidRPr="00E34135" w:rsidRDefault="00000921" w:rsidP="00000921">
      <w:pPr>
        <w:pStyle w:val="a3"/>
        <w:ind w:firstLine="709"/>
        <w:rPr>
          <w:sz w:val="24"/>
          <w:szCs w:val="24"/>
        </w:rPr>
      </w:pPr>
      <w:r w:rsidRPr="00E34135">
        <w:rPr>
          <w:sz w:val="24"/>
          <w:szCs w:val="24"/>
        </w:rPr>
        <w:t xml:space="preserve">-плановые показатели по доходам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за 2015-2017 годы определены в объеме </w:t>
      </w:r>
      <w:r w:rsidRPr="00E34135">
        <w:rPr>
          <w:sz w:val="24"/>
          <w:szCs w:val="24"/>
        </w:rPr>
        <w:br/>
        <w:t>20,0 тыс. рублей ежегодно. Учитывая, что списание средств носит заявительный характер и доходы от реализации материальных запасов в большей степени зависят от стоимости приема макулатуры и металлолома, доходы планировались по динамике поступлений;</w:t>
      </w:r>
    </w:p>
    <w:p w:rsidR="00000921" w:rsidRPr="00E34135" w:rsidRDefault="00000921" w:rsidP="00000921">
      <w:pPr>
        <w:pStyle w:val="a3"/>
        <w:ind w:firstLine="709"/>
        <w:rPr>
          <w:b/>
          <w:sz w:val="24"/>
          <w:szCs w:val="24"/>
        </w:rPr>
      </w:pPr>
      <w:r w:rsidRPr="00E34135">
        <w:rPr>
          <w:sz w:val="24"/>
          <w:szCs w:val="24"/>
        </w:rPr>
        <w:lastRenderedPageBreak/>
        <w:t>-доходы от продажи земельных участков, находящихся в собственности области, на 2015-2017 годы запланированы в объеме 100,0 тыс. рублей ежегодно. Продажа земельных участк</w:t>
      </w:r>
      <w:r w:rsidR="00E67167">
        <w:rPr>
          <w:sz w:val="24"/>
          <w:szCs w:val="24"/>
        </w:rPr>
        <w:t>ов носит заявительный характер.</w:t>
      </w:r>
    </w:p>
    <w:p w:rsidR="00000921" w:rsidRDefault="00000921" w:rsidP="00000921">
      <w:pPr>
        <w:spacing w:after="0" w:line="240" w:lineRule="auto"/>
        <w:ind w:firstLine="680"/>
        <w:jc w:val="both"/>
        <w:rPr>
          <w:rFonts w:ascii="Times New Roman" w:hAnsi="Times New Roman"/>
          <w:sz w:val="24"/>
          <w:szCs w:val="24"/>
        </w:rPr>
      </w:pP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На г</w:t>
      </w:r>
      <w:r w:rsidRPr="000D20A0">
        <w:rPr>
          <w:rFonts w:ascii="Times New Roman" w:hAnsi="Times New Roman"/>
          <w:sz w:val="24"/>
          <w:szCs w:val="24"/>
        </w:rPr>
        <w:t>осударствен</w:t>
      </w:r>
      <w:r>
        <w:rPr>
          <w:rFonts w:ascii="Times New Roman" w:hAnsi="Times New Roman"/>
          <w:sz w:val="24"/>
          <w:szCs w:val="24"/>
        </w:rPr>
        <w:t>ную</w:t>
      </w:r>
      <w:r w:rsidRPr="000D20A0">
        <w:rPr>
          <w:rFonts w:ascii="Times New Roman" w:hAnsi="Times New Roman"/>
          <w:sz w:val="24"/>
          <w:szCs w:val="24"/>
        </w:rPr>
        <w:t xml:space="preserve"> </w:t>
      </w:r>
      <w:r>
        <w:rPr>
          <w:rFonts w:ascii="Times New Roman" w:hAnsi="Times New Roman"/>
          <w:sz w:val="24"/>
          <w:szCs w:val="24"/>
        </w:rPr>
        <w:t xml:space="preserve">пошлину, </w:t>
      </w:r>
      <w:r w:rsidRPr="007458C1">
        <w:rPr>
          <w:rFonts w:ascii="Times New Roman" w:hAnsi="Times New Roman"/>
          <w:sz w:val="24"/>
          <w:szCs w:val="24"/>
        </w:rPr>
        <w:t xml:space="preserve">платежи при пользовании природными ресурсами, </w:t>
      </w:r>
      <w:r>
        <w:rPr>
          <w:rFonts w:ascii="Times New Roman" w:hAnsi="Times New Roman"/>
          <w:sz w:val="24"/>
          <w:szCs w:val="24"/>
        </w:rPr>
        <w:t>доходы от оказания платных услуг (работ) и компенсации затрат государства, административные платежи и сборы, штрафы, санкции, возмещение ущерба в структуре налоговых и неналоговых доходов областного бюджета приходится от 0,1 процента до</w:t>
      </w:r>
      <w:r>
        <w:rPr>
          <w:rFonts w:ascii="Times New Roman" w:hAnsi="Times New Roman"/>
          <w:sz w:val="24"/>
          <w:szCs w:val="24"/>
        </w:rPr>
        <w:br/>
        <w:t>0,6 процента.</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Поступления по указанным доходам областного бюджета на 2015 год спрогнозированы по данным администраторов доходов областного бюджета.</w:t>
      </w:r>
    </w:p>
    <w:p w:rsidR="00000921" w:rsidRPr="000D20A0"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Объем поступлений на 2015 год государственной пошлины составляет 28082,0 тыс. рублей, платежей при пользовании природными ресурсами – 149708,0 тыс. рублей, доходов от оказания платных услуг (работ) и компенсации затрат государства – 60577,3 тыс. рублей, административных платежей и сборов – 731,1 тыс. рублей, штрафов, санкций, возмещения ущерба – 206229,3 тыс. рублей.</w:t>
      </w:r>
    </w:p>
    <w:p w:rsidR="00000921" w:rsidRPr="008214DB" w:rsidRDefault="00000921" w:rsidP="00000921">
      <w:pPr>
        <w:pStyle w:val="a3"/>
        <w:ind w:right="-83" w:firstLine="709"/>
        <w:rPr>
          <w:sz w:val="24"/>
          <w:szCs w:val="24"/>
        </w:rPr>
      </w:pPr>
      <w:r w:rsidRPr="0022095D">
        <w:rPr>
          <w:sz w:val="24"/>
          <w:szCs w:val="24"/>
        </w:rPr>
        <w:t>Контрольно-счетная пала</w:t>
      </w:r>
      <w:r>
        <w:rPr>
          <w:sz w:val="24"/>
          <w:szCs w:val="24"/>
        </w:rPr>
        <w:t xml:space="preserve">та Амурской области отмечает, что прогноз поступлений государственной пошлины на 2015 год рассчитан на 1,1 процента ниже ожидаемого исполнения 2014 года. При планировании поступлений государственной пошлины </w:t>
      </w:r>
      <w:r>
        <w:rPr>
          <w:sz w:val="24"/>
          <w:szCs w:val="24"/>
        </w:rPr>
        <w:br/>
        <w:t xml:space="preserve">на 2015 год и соответственно на 2016-2017 годы не учтены изменения, внесенные в Бюджетный кодекс Российской Федерации. В соответствии с Федеральным законом от 21.07.2014 № 249-ФЗ «О внесении изменений в статьи 50 и 56 Бюджетного кодекса Российской Федерации» устанавливается норматив зачисления в бюджеты субъектов Российской Федерации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размере 50 процентов. Указанные изменения по оценке Министерства финансов Российской Федерации должны увеличить доходы консолидированных бюджетов регионов на </w:t>
      </w:r>
      <w:r w:rsidRPr="008214DB">
        <w:rPr>
          <w:sz w:val="24"/>
          <w:szCs w:val="24"/>
        </w:rPr>
        <w:t>13605,1 млн. рублей.</w:t>
      </w:r>
    </w:p>
    <w:p w:rsidR="00000921" w:rsidRPr="0022095D" w:rsidRDefault="00000921" w:rsidP="00000921">
      <w:pPr>
        <w:pStyle w:val="a3"/>
        <w:ind w:right="-83" w:firstLine="709"/>
        <w:rPr>
          <w:sz w:val="24"/>
          <w:szCs w:val="24"/>
        </w:rPr>
      </w:pPr>
    </w:p>
    <w:p w:rsidR="00000921" w:rsidRPr="005F6464" w:rsidRDefault="00000921" w:rsidP="00000921">
      <w:pPr>
        <w:pStyle w:val="a3"/>
        <w:ind w:right="-83" w:firstLine="709"/>
        <w:rPr>
          <w:b/>
          <w:sz w:val="24"/>
          <w:szCs w:val="24"/>
        </w:rPr>
      </w:pPr>
      <w:r w:rsidRPr="005F6464">
        <w:rPr>
          <w:b/>
          <w:sz w:val="24"/>
          <w:szCs w:val="24"/>
        </w:rPr>
        <w:t>На основании проведенного анализа формирования доходной части областного бюджета на 2015 год контрольно-счетная палата Амурской области считает возможным сделать вывод о напряженности плановых показателей по основным бюджетообразующим налогам, что потребует реализации комплекса мер по развитию доходного потенциала области в объемах, позволяющих обеспечить долгосрочную сбалансированность и устойчивость бюджетной системы области, усиления налогового администрирования для обеспечения повышения уровня собираемости налогов и сбор</w:t>
      </w:r>
      <w:r w:rsidR="00E67167">
        <w:rPr>
          <w:b/>
          <w:sz w:val="24"/>
          <w:szCs w:val="24"/>
        </w:rPr>
        <w:t>ов.</w:t>
      </w:r>
    </w:p>
    <w:p w:rsidR="00000921" w:rsidRDefault="00000921" w:rsidP="00000921">
      <w:pPr>
        <w:pStyle w:val="a3"/>
        <w:ind w:right="-83" w:firstLine="709"/>
        <w:rPr>
          <w:b/>
          <w:sz w:val="24"/>
          <w:szCs w:val="24"/>
        </w:rPr>
      </w:pPr>
      <w:r w:rsidRPr="005F6464">
        <w:rPr>
          <w:b/>
          <w:sz w:val="24"/>
          <w:szCs w:val="24"/>
        </w:rPr>
        <w:t>Вместе с тем следует отметить наличие резервов увеличения отдельных налоговых и неналоговых доходов областного бюджета в 2015 году и плановом периоде 2016 и 2017 годов.</w:t>
      </w:r>
    </w:p>
    <w:p w:rsidR="00000921" w:rsidRPr="005F6464" w:rsidRDefault="00000921" w:rsidP="00000921">
      <w:pPr>
        <w:spacing w:after="0" w:line="240" w:lineRule="auto"/>
        <w:ind w:firstLine="680"/>
        <w:jc w:val="center"/>
        <w:rPr>
          <w:rFonts w:ascii="Times New Roman" w:hAnsi="Times New Roman"/>
          <w:b/>
          <w:sz w:val="24"/>
          <w:szCs w:val="24"/>
        </w:rPr>
      </w:pPr>
    </w:p>
    <w:p w:rsidR="00000921" w:rsidRPr="004C2E5E" w:rsidRDefault="00000921" w:rsidP="00DA5F4F">
      <w:pPr>
        <w:pStyle w:val="ad"/>
        <w:numPr>
          <w:ilvl w:val="0"/>
          <w:numId w:val="14"/>
        </w:numPr>
        <w:spacing w:after="0" w:line="240" w:lineRule="auto"/>
        <w:jc w:val="center"/>
        <w:rPr>
          <w:rFonts w:ascii="Times New Roman" w:hAnsi="Times New Roman"/>
          <w:b/>
          <w:sz w:val="24"/>
          <w:szCs w:val="24"/>
        </w:rPr>
      </w:pPr>
      <w:r w:rsidRPr="004C2E5E">
        <w:rPr>
          <w:rFonts w:ascii="Times New Roman" w:hAnsi="Times New Roman"/>
          <w:b/>
          <w:sz w:val="24"/>
          <w:szCs w:val="24"/>
        </w:rPr>
        <w:t>Дефицит бюджета. Источники финансирования дефицита</w:t>
      </w:r>
    </w:p>
    <w:p w:rsidR="00000921" w:rsidRPr="004640B0" w:rsidRDefault="00000921" w:rsidP="00000921">
      <w:pPr>
        <w:spacing w:after="0" w:line="240" w:lineRule="auto"/>
        <w:ind w:firstLine="680"/>
        <w:jc w:val="center"/>
        <w:rPr>
          <w:rFonts w:ascii="Times New Roman" w:hAnsi="Times New Roman"/>
          <w:b/>
          <w:sz w:val="28"/>
          <w:szCs w:val="28"/>
        </w:rPr>
      </w:pPr>
    </w:p>
    <w:p w:rsidR="00000921" w:rsidRDefault="00000921" w:rsidP="00000921">
      <w:pPr>
        <w:autoSpaceDE w:val="0"/>
        <w:autoSpaceDN w:val="0"/>
        <w:adjustRightInd w:val="0"/>
        <w:spacing w:after="0" w:line="240" w:lineRule="auto"/>
        <w:ind w:firstLine="705"/>
        <w:jc w:val="both"/>
        <w:rPr>
          <w:rFonts w:ascii="Times New Roman" w:hAnsi="Times New Roman"/>
          <w:sz w:val="24"/>
          <w:szCs w:val="24"/>
        </w:rPr>
      </w:pPr>
      <w:r w:rsidRPr="00ED160E">
        <w:rPr>
          <w:rFonts w:ascii="Times New Roman" w:hAnsi="Times New Roman"/>
          <w:sz w:val="24"/>
          <w:szCs w:val="24"/>
        </w:rPr>
        <w:t>Законопроектом предусмотрено формирование областного бюджета на 201</w:t>
      </w:r>
      <w:r>
        <w:rPr>
          <w:rFonts w:ascii="Times New Roman" w:hAnsi="Times New Roman"/>
          <w:sz w:val="24"/>
          <w:szCs w:val="24"/>
        </w:rPr>
        <w:t>5</w:t>
      </w:r>
      <w:r w:rsidRPr="00ED160E">
        <w:rPr>
          <w:rFonts w:ascii="Times New Roman" w:hAnsi="Times New Roman"/>
          <w:sz w:val="24"/>
          <w:szCs w:val="24"/>
        </w:rPr>
        <w:t xml:space="preserve"> год с дефицитом в размере </w:t>
      </w:r>
      <w:r>
        <w:rPr>
          <w:rFonts w:ascii="Times New Roman" w:hAnsi="Times New Roman"/>
          <w:sz w:val="24"/>
          <w:szCs w:val="24"/>
        </w:rPr>
        <w:t>1963263,3</w:t>
      </w:r>
      <w:r w:rsidRPr="00ED160E">
        <w:rPr>
          <w:rFonts w:ascii="Times New Roman" w:hAnsi="Times New Roman"/>
          <w:sz w:val="24"/>
          <w:szCs w:val="24"/>
        </w:rPr>
        <w:t xml:space="preserve"> тыс. рублей, что составляет </w:t>
      </w:r>
      <w:r>
        <w:rPr>
          <w:rFonts w:ascii="Times New Roman" w:hAnsi="Times New Roman"/>
          <w:sz w:val="24"/>
          <w:szCs w:val="24"/>
        </w:rPr>
        <w:t>6</w:t>
      </w:r>
      <w:r w:rsidRPr="00ED160E">
        <w:rPr>
          <w:rFonts w:ascii="Times New Roman" w:hAnsi="Times New Roman"/>
          <w:sz w:val="24"/>
          <w:szCs w:val="24"/>
        </w:rPr>
        <w:t>,</w:t>
      </w:r>
      <w:r>
        <w:rPr>
          <w:rFonts w:ascii="Times New Roman" w:hAnsi="Times New Roman"/>
          <w:sz w:val="24"/>
          <w:szCs w:val="24"/>
        </w:rPr>
        <w:t>4</w:t>
      </w:r>
      <w:r w:rsidRPr="00ED160E">
        <w:rPr>
          <w:rFonts w:ascii="Times New Roman" w:hAnsi="Times New Roman"/>
          <w:sz w:val="24"/>
          <w:szCs w:val="24"/>
        </w:rPr>
        <w:t xml:space="preserve"> процент</w:t>
      </w:r>
      <w:r>
        <w:rPr>
          <w:rFonts w:ascii="Times New Roman" w:hAnsi="Times New Roman"/>
          <w:sz w:val="24"/>
          <w:szCs w:val="24"/>
        </w:rPr>
        <w:t>а</w:t>
      </w:r>
      <w:r w:rsidRPr="00ED160E">
        <w:rPr>
          <w:rFonts w:ascii="Times New Roman" w:hAnsi="Times New Roman"/>
          <w:sz w:val="24"/>
          <w:szCs w:val="24"/>
        </w:rPr>
        <w:t xml:space="preserve"> объема доходов областного бюджета без учета безвозмездных поступлений</w:t>
      </w:r>
      <w:r>
        <w:rPr>
          <w:rFonts w:ascii="Times New Roman" w:hAnsi="Times New Roman"/>
          <w:sz w:val="24"/>
          <w:szCs w:val="24"/>
        </w:rPr>
        <w:t>.</w:t>
      </w:r>
    </w:p>
    <w:p w:rsidR="00000921" w:rsidRPr="00ED160E" w:rsidRDefault="00000921" w:rsidP="00000921">
      <w:pPr>
        <w:autoSpaceDE w:val="0"/>
        <w:autoSpaceDN w:val="0"/>
        <w:adjustRightInd w:val="0"/>
        <w:spacing w:after="0" w:line="240" w:lineRule="auto"/>
        <w:ind w:firstLine="705"/>
        <w:jc w:val="both"/>
        <w:rPr>
          <w:rFonts w:ascii="Times New Roman" w:hAnsi="Times New Roman"/>
          <w:sz w:val="24"/>
          <w:szCs w:val="24"/>
        </w:rPr>
      </w:pPr>
      <w:r w:rsidRPr="00ED160E">
        <w:rPr>
          <w:rFonts w:ascii="Times New Roman" w:hAnsi="Times New Roman"/>
          <w:sz w:val="24"/>
          <w:szCs w:val="24"/>
        </w:rPr>
        <w:t>Данное значение не превышает предельного значения уровня дефицита, установленного статьей 92.1 Бюджетного кодекса Российской Федерации.</w:t>
      </w:r>
    </w:p>
    <w:p w:rsidR="00000921" w:rsidRDefault="00000921" w:rsidP="00000921">
      <w:pPr>
        <w:autoSpaceDE w:val="0"/>
        <w:autoSpaceDN w:val="0"/>
        <w:adjustRightInd w:val="0"/>
        <w:spacing w:after="0" w:line="240" w:lineRule="auto"/>
        <w:ind w:firstLine="705"/>
        <w:jc w:val="both"/>
        <w:outlineLvl w:val="3"/>
        <w:rPr>
          <w:rFonts w:ascii="Times New Roman" w:hAnsi="Times New Roman"/>
          <w:sz w:val="24"/>
          <w:szCs w:val="24"/>
        </w:rPr>
      </w:pPr>
      <w:r w:rsidRPr="00ED160E">
        <w:rPr>
          <w:rFonts w:ascii="Times New Roman" w:hAnsi="Times New Roman"/>
          <w:sz w:val="24"/>
          <w:szCs w:val="24"/>
        </w:rPr>
        <w:t>На 201</w:t>
      </w:r>
      <w:r>
        <w:rPr>
          <w:rFonts w:ascii="Times New Roman" w:hAnsi="Times New Roman"/>
          <w:sz w:val="24"/>
          <w:szCs w:val="24"/>
        </w:rPr>
        <w:t>4</w:t>
      </w:r>
      <w:r w:rsidRPr="00ED160E">
        <w:rPr>
          <w:rFonts w:ascii="Times New Roman" w:hAnsi="Times New Roman"/>
          <w:sz w:val="24"/>
          <w:szCs w:val="24"/>
        </w:rPr>
        <w:t xml:space="preserve"> год </w:t>
      </w:r>
      <w:r>
        <w:rPr>
          <w:rFonts w:ascii="Times New Roman" w:hAnsi="Times New Roman"/>
          <w:sz w:val="24"/>
          <w:szCs w:val="24"/>
        </w:rPr>
        <w:t xml:space="preserve">первоначально </w:t>
      </w:r>
      <w:r w:rsidRPr="00ED160E">
        <w:rPr>
          <w:rFonts w:ascii="Times New Roman" w:hAnsi="Times New Roman"/>
          <w:sz w:val="24"/>
          <w:szCs w:val="24"/>
        </w:rPr>
        <w:t xml:space="preserve">Законом Амурской области </w:t>
      </w:r>
      <w:r>
        <w:rPr>
          <w:rFonts w:ascii="Times New Roman" w:hAnsi="Times New Roman"/>
          <w:sz w:val="24"/>
          <w:szCs w:val="24"/>
        </w:rPr>
        <w:t>«</w:t>
      </w:r>
      <w:r w:rsidRPr="00ED160E">
        <w:rPr>
          <w:rFonts w:ascii="Times New Roman" w:hAnsi="Times New Roman"/>
          <w:sz w:val="24"/>
          <w:szCs w:val="24"/>
        </w:rPr>
        <w:t>Об областном бюджете на 201</w:t>
      </w:r>
      <w:r>
        <w:rPr>
          <w:rFonts w:ascii="Times New Roman" w:hAnsi="Times New Roman"/>
          <w:sz w:val="24"/>
          <w:szCs w:val="24"/>
        </w:rPr>
        <w:t>4</w:t>
      </w:r>
      <w:r w:rsidRPr="00ED160E">
        <w:rPr>
          <w:rFonts w:ascii="Times New Roman" w:hAnsi="Times New Roman"/>
          <w:sz w:val="24"/>
          <w:szCs w:val="24"/>
        </w:rPr>
        <w:t xml:space="preserve"> год</w:t>
      </w:r>
      <w:r>
        <w:rPr>
          <w:rFonts w:ascii="Times New Roman" w:hAnsi="Times New Roman"/>
          <w:sz w:val="24"/>
          <w:szCs w:val="24"/>
        </w:rPr>
        <w:t xml:space="preserve"> и плановый период 2015 и 2016 годов</w:t>
      </w:r>
      <w:r w:rsidRPr="00ED160E">
        <w:rPr>
          <w:rFonts w:ascii="Times New Roman" w:hAnsi="Times New Roman"/>
          <w:sz w:val="24"/>
          <w:szCs w:val="24"/>
        </w:rPr>
        <w:t xml:space="preserve">» дефицит областного бюджета  утвержден в объеме </w:t>
      </w:r>
      <w:r>
        <w:rPr>
          <w:rFonts w:ascii="Times New Roman" w:hAnsi="Times New Roman"/>
          <w:sz w:val="24"/>
          <w:szCs w:val="24"/>
        </w:rPr>
        <w:t>4405349,6</w:t>
      </w:r>
      <w:r w:rsidRPr="00ED160E">
        <w:rPr>
          <w:rFonts w:ascii="Times New Roman" w:hAnsi="Times New Roman"/>
          <w:sz w:val="24"/>
          <w:szCs w:val="24"/>
        </w:rPr>
        <w:t xml:space="preserve"> тыс. рублей</w:t>
      </w:r>
      <w:r w:rsidRPr="00ED160E">
        <w:rPr>
          <w:sz w:val="24"/>
          <w:szCs w:val="24"/>
        </w:rPr>
        <w:t xml:space="preserve"> </w:t>
      </w:r>
      <w:r w:rsidRPr="00ED160E">
        <w:rPr>
          <w:rFonts w:ascii="Times New Roman" w:hAnsi="Times New Roman"/>
          <w:sz w:val="24"/>
          <w:szCs w:val="24"/>
        </w:rPr>
        <w:t>(</w:t>
      </w:r>
      <w:r>
        <w:rPr>
          <w:rFonts w:ascii="Times New Roman" w:hAnsi="Times New Roman"/>
          <w:sz w:val="24"/>
          <w:szCs w:val="24"/>
        </w:rPr>
        <w:t>15,0</w:t>
      </w:r>
      <w:r w:rsidRPr="00ED160E">
        <w:rPr>
          <w:rFonts w:ascii="Times New Roman" w:hAnsi="Times New Roman"/>
          <w:sz w:val="24"/>
          <w:szCs w:val="24"/>
        </w:rPr>
        <w:t xml:space="preserve"> процент</w:t>
      </w:r>
      <w:r>
        <w:rPr>
          <w:rFonts w:ascii="Times New Roman" w:hAnsi="Times New Roman"/>
          <w:sz w:val="24"/>
          <w:szCs w:val="24"/>
        </w:rPr>
        <w:t>ов</w:t>
      </w:r>
      <w:r w:rsidRPr="00ED160E">
        <w:rPr>
          <w:rFonts w:ascii="Times New Roman" w:hAnsi="Times New Roman"/>
          <w:sz w:val="24"/>
          <w:szCs w:val="24"/>
        </w:rPr>
        <w:t xml:space="preserve"> объема доходов областного бюджета без учета безвозмездных поступлений), </w:t>
      </w:r>
      <w:r>
        <w:rPr>
          <w:rFonts w:ascii="Times New Roman" w:hAnsi="Times New Roman"/>
          <w:sz w:val="24"/>
          <w:szCs w:val="24"/>
        </w:rPr>
        <w:t xml:space="preserve">уточненный показатель дефицита областного бюджета на </w:t>
      </w:r>
      <w:r w:rsidR="00A61C2A">
        <w:rPr>
          <w:rFonts w:ascii="Times New Roman" w:hAnsi="Times New Roman"/>
          <w:sz w:val="24"/>
          <w:szCs w:val="24"/>
        </w:rPr>
        <w:br/>
      </w:r>
      <w:r>
        <w:rPr>
          <w:rFonts w:ascii="Times New Roman" w:hAnsi="Times New Roman"/>
          <w:sz w:val="24"/>
          <w:szCs w:val="24"/>
        </w:rPr>
        <w:lastRenderedPageBreak/>
        <w:t>2014 год (с учетом внесенных изменений в закон об областном бюджете на 2014 год и плановый период 2015 и 2016 годов</w:t>
      </w:r>
      <w:r w:rsidRPr="00FC73A6">
        <w:rPr>
          <w:rFonts w:ascii="Times New Roman" w:hAnsi="Times New Roman"/>
          <w:sz w:val="24"/>
          <w:szCs w:val="24"/>
        </w:rPr>
        <w:t xml:space="preserve"> </w:t>
      </w:r>
      <w:r>
        <w:rPr>
          <w:rFonts w:ascii="Times New Roman" w:hAnsi="Times New Roman"/>
          <w:sz w:val="24"/>
          <w:szCs w:val="24"/>
        </w:rPr>
        <w:t>по состоянию на 01.10.2014) составляет 8343867,8</w:t>
      </w:r>
      <w:r w:rsidRPr="00D35634">
        <w:rPr>
          <w:sz w:val="24"/>
          <w:szCs w:val="24"/>
        </w:rPr>
        <w:t xml:space="preserve"> </w:t>
      </w:r>
      <w:r>
        <w:rPr>
          <w:rFonts w:ascii="Times New Roman" w:hAnsi="Times New Roman"/>
          <w:sz w:val="24"/>
          <w:szCs w:val="24"/>
        </w:rPr>
        <w:t>тыс. рублей (10,0</w:t>
      </w:r>
      <w:r w:rsidRPr="00CC7D8A">
        <w:rPr>
          <w:rFonts w:ascii="Times New Roman" w:hAnsi="Times New Roman"/>
          <w:sz w:val="24"/>
          <w:szCs w:val="24"/>
        </w:rPr>
        <w:t xml:space="preserve"> процент</w:t>
      </w:r>
      <w:r>
        <w:rPr>
          <w:rFonts w:ascii="Times New Roman" w:hAnsi="Times New Roman"/>
          <w:sz w:val="24"/>
          <w:szCs w:val="24"/>
        </w:rPr>
        <w:t xml:space="preserve">ов с учетом ограничений, установленных статьей 92.1 Бюджетного кодекса Российской Федерации), </w:t>
      </w:r>
      <w:r w:rsidRPr="00ED160E">
        <w:rPr>
          <w:rFonts w:ascii="Times New Roman" w:hAnsi="Times New Roman"/>
          <w:sz w:val="24"/>
          <w:szCs w:val="24"/>
        </w:rPr>
        <w:t>по исполнению областного бюджета в 201</w:t>
      </w:r>
      <w:r>
        <w:rPr>
          <w:rFonts w:ascii="Times New Roman" w:hAnsi="Times New Roman"/>
          <w:sz w:val="24"/>
          <w:szCs w:val="24"/>
        </w:rPr>
        <w:t>4</w:t>
      </w:r>
      <w:r w:rsidRPr="00ED160E">
        <w:rPr>
          <w:rFonts w:ascii="Times New Roman" w:hAnsi="Times New Roman"/>
          <w:sz w:val="24"/>
          <w:szCs w:val="24"/>
        </w:rPr>
        <w:t xml:space="preserve"> году дефицит ожидается в размере </w:t>
      </w:r>
      <w:r>
        <w:rPr>
          <w:rFonts w:ascii="Times New Roman" w:hAnsi="Times New Roman"/>
          <w:sz w:val="24"/>
          <w:szCs w:val="24"/>
        </w:rPr>
        <w:t xml:space="preserve">10069438,8 </w:t>
      </w:r>
      <w:r w:rsidRPr="00AF292A">
        <w:rPr>
          <w:rFonts w:ascii="Times New Roman" w:hAnsi="Times New Roman"/>
          <w:sz w:val="24"/>
          <w:szCs w:val="24"/>
        </w:rPr>
        <w:t xml:space="preserve">тыс. рублей, или </w:t>
      </w:r>
      <w:r>
        <w:rPr>
          <w:rFonts w:ascii="Times New Roman" w:hAnsi="Times New Roman"/>
          <w:sz w:val="24"/>
          <w:szCs w:val="24"/>
        </w:rPr>
        <w:t>10,4</w:t>
      </w:r>
      <w:r w:rsidRPr="00AF292A">
        <w:rPr>
          <w:rFonts w:ascii="Times New Roman" w:hAnsi="Times New Roman"/>
          <w:sz w:val="24"/>
          <w:szCs w:val="24"/>
        </w:rPr>
        <w:t xml:space="preserve"> процент</w:t>
      </w:r>
      <w:r>
        <w:rPr>
          <w:rFonts w:ascii="Times New Roman" w:hAnsi="Times New Roman"/>
          <w:sz w:val="24"/>
          <w:szCs w:val="24"/>
        </w:rPr>
        <w:t>а (с учетом ограничений, установленных статьей 92.1 Бюджетного кодекса Российской Федерации)</w:t>
      </w:r>
      <w:r w:rsidRPr="00AF292A">
        <w:rPr>
          <w:rFonts w:ascii="Times New Roman" w:hAnsi="Times New Roman"/>
          <w:sz w:val="24"/>
          <w:szCs w:val="24"/>
        </w:rPr>
        <w:t>.</w:t>
      </w:r>
    </w:p>
    <w:p w:rsidR="00000921" w:rsidRPr="00ED160E" w:rsidRDefault="00000921" w:rsidP="00000921">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В соответствии с з</w:t>
      </w:r>
      <w:r w:rsidRPr="00ED160E">
        <w:rPr>
          <w:rFonts w:ascii="Times New Roman" w:hAnsi="Times New Roman"/>
          <w:sz w:val="24"/>
          <w:szCs w:val="24"/>
        </w:rPr>
        <w:t>аконопроектом</w:t>
      </w:r>
      <w:r>
        <w:rPr>
          <w:rFonts w:ascii="Times New Roman" w:hAnsi="Times New Roman"/>
          <w:sz w:val="24"/>
          <w:szCs w:val="24"/>
        </w:rPr>
        <w:t xml:space="preserve"> дефицит областного бюджета сохранится также в 2016 году, снижаясь до 668266,3 тыс. рублей, что составляет 2,0 процента</w:t>
      </w:r>
      <w:r w:rsidRPr="00060F2C">
        <w:rPr>
          <w:rFonts w:ascii="Times New Roman" w:hAnsi="Times New Roman"/>
          <w:sz w:val="24"/>
          <w:szCs w:val="24"/>
        </w:rPr>
        <w:t xml:space="preserve"> </w:t>
      </w:r>
      <w:r>
        <w:rPr>
          <w:rFonts w:ascii="Times New Roman" w:hAnsi="Times New Roman"/>
          <w:sz w:val="24"/>
          <w:szCs w:val="24"/>
        </w:rPr>
        <w:t>о</w:t>
      </w:r>
      <w:r w:rsidRPr="00ED160E">
        <w:rPr>
          <w:rFonts w:ascii="Times New Roman" w:hAnsi="Times New Roman"/>
          <w:sz w:val="24"/>
          <w:szCs w:val="24"/>
        </w:rPr>
        <w:t>бъема доходов областного бюджета без учета безвозмездных поступлений</w:t>
      </w:r>
      <w:r>
        <w:rPr>
          <w:rFonts w:ascii="Times New Roman" w:hAnsi="Times New Roman"/>
          <w:sz w:val="24"/>
          <w:szCs w:val="24"/>
        </w:rPr>
        <w:t>. В 2017 году планируется профицит областного бюджета в объеме 7362305,7 тыс. рублей</w:t>
      </w:r>
      <w:r w:rsidR="00E67167">
        <w:rPr>
          <w:rFonts w:ascii="Times New Roman" w:hAnsi="Times New Roman"/>
          <w:sz w:val="24"/>
          <w:szCs w:val="24"/>
        </w:rPr>
        <w:t>.</w:t>
      </w:r>
    </w:p>
    <w:p w:rsidR="00000921" w:rsidRDefault="00000921" w:rsidP="00000921">
      <w:pPr>
        <w:spacing w:after="0" w:line="240" w:lineRule="auto"/>
        <w:ind w:firstLine="680"/>
        <w:jc w:val="both"/>
        <w:rPr>
          <w:rFonts w:ascii="Times New Roman" w:hAnsi="Times New Roman"/>
          <w:sz w:val="24"/>
          <w:szCs w:val="24"/>
        </w:rPr>
      </w:pPr>
      <w:r>
        <w:rPr>
          <w:rFonts w:ascii="Times New Roman" w:hAnsi="Times New Roman"/>
          <w:sz w:val="24"/>
          <w:szCs w:val="24"/>
        </w:rPr>
        <w:t>Согласно приложению № 7 к законопроекту на 2015 год и плановый период 2016 и 2017 годов установлены источники внутреннего финансирования дефицита областного бюджета.</w:t>
      </w:r>
    </w:p>
    <w:p w:rsidR="00000921" w:rsidRDefault="00000921" w:rsidP="00000921">
      <w:pPr>
        <w:spacing w:after="0" w:line="240" w:lineRule="auto"/>
        <w:ind w:firstLine="709"/>
        <w:jc w:val="both"/>
        <w:rPr>
          <w:rFonts w:ascii="Times New Roman" w:hAnsi="Times New Roman"/>
          <w:sz w:val="24"/>
          <w:szCs w:val="24"/>
        </w:rPr>
      </w:pPr>
      <w:r w:rsidRPr="00BB77C5">
        <w:rPr>
          <w:rFonts w:ascii="Times New Roman" w:hAnsi="Times New Roman"/>
          <w:sz w:val="24"/>
          <w:szCs w:val="24"/>
        </w:rPr>
        <w:t xml:space="preserve">Основное место в источниках финансирования дефицита областного бюджета, </w:t>
      </w:r>
      <w:r w:rsidRPr="00BB77C5">
        <w:rPr>
          <w:rFonts w:ascii="Times New Roman" w:hAnsi="Times New Roman"/>
          <w:sz w:val="24"/>
          <w:szCs w:val="24"/>
        </w:rPr>
        <w:br/>
        <w:t>по–прежнему, занимает привлечение банковских кредитов. Предусматривается, что</w:t>
      </w:r>
      <w:r w:rsidR="00D67A26">
        <w:rPr>
          <w:rFonts w:ascii="Times New Roman" w:hAnsi="Times New Roman"/>
          <w:sz w:val="24"/>
          <w:szCs w:val="24"/>
        </w:rPr>
        <w:t xml:space="preserve"> </w:t>
      </w:r>
      <w:r w:rsidR="00D67A26">
        <w:rPr>
          <w:rFonts w:ascii="Times New Roman" w:hAnsi="Times New Roman"/>
          <w:sz w:val="24"/>
          <w:szCs w:val="24"/>
        </w:rPr>
        <w:br/>
      </w:r>
      <w:r w:rsidRPr="00BB77C5">
        <w:rPr>
          <w:rFonts w:ascii="Times New Roman" w:hAnsi="Times New Roman"/>
          <w:sz w:val="24"/>
          <w:szCs w:val="24"/>
        </w:rPr>
        <w:t>в 201</w:t>
      </w:r>
      <w:r>
        <w:rPr>
          <w:rFonts w:ascii="Times New Roman" w:hAnsi="Times New Roman"/>
          <w:sz w:val="24"/>
          <w:szCs w:val="24"/>
        </w:rPr>
        <w:t>5</w:t>
      </w:r>
      <w:r w:rsidRPr="00BB77C5">
        <w:rPr>
          <w:rFonts w:ascii="Times New Roman" w:hAnsi="Times New Roman"/>
          <w:sz w:val="24"/>
          <w:szCs w:val="24"/>
        </w:rPr>
        <w:t xml:space="preserve"> году объем государственных заимствований (банковские кредиты) составит </w:t>
      </w:r>
      <w:r>
        <w:rPr>
          <w:rFonts w:ascii="Times New Roman" w:hAnsi="Times New Roman"/>
          <w:sz w:val="24"/>
          <w:szCs w:val="24"/>
        </w:rPr>
        <w:t>22418003,9</w:t>
      </w:r>
      <w:r w:rsidRPr="00BB77C5">
        <w:rPr>
          <w:rFonts w:ascii="Times New Roman" w:hAnsi="Times New Roman"/>
          <w:sz w:val="24"/>
          <w:szCs w:val="24"/>
        </w:rPr>
        <w:t xml:space="preserve"> тыс. рублей, что </w:t>
      </w:r>
      <w:r>
        <w:rPr>
          <w:rFonts w:ascii="Times New Roman" w:hAnsi="Times New Roman"/>
          <w:sz w:val="24"/>
          <w:szCs w:val="24"/>
        </w:rPr>
        <w:t>в 1,3 раза больше</w:t>
      </w:r>
      <w:r w:rsidRPr="00BB77C5">
        <w:rPr>
          <w:rFonts w:ascii="Times New Roman" w:hAnsi="Times New Roman"/>
          <w:sz w:val="24"/>
          <w:szCs w:val="24"/>
        </w:rPr>
        <w:t xml:space="preserve"> по сравнению с показателями, утвержденными на 201</w:t>
      </w:r>
      <w:r>
        <w:rPr>
          <w:rFonts w:ascii="Times New Roman" w:hAnsi="Times New Roman"/>
          <w:sz w:val="24"/>
          <w:szCs w:val="24"/>
        </w:rPr>
        <w:t>4</w:t>
      </w:r>
      <w:r w:rsidR="00633E92">
        <w:rPr>
          <w:rFonts w:ascii="Times New Roman" w:hAnsi="Times New Roman"/>
          <w:sz w:val="24"/>
          <w:szCs w:val="24"/>
        </w:rPr>
        <w:t xml:space="preserve"> год.</w:t>
      </w:r>
    </w:p>
    <w:p w:rsidR="00000921" w:rsidRPr="00BB77C5" w:rsidRDefault="00000921" w:rsidP="00000921">
      <w:pPr>
        <w:spacing w:after="0" w:line="240" w:lineRule="auto"/>
        <w:ind w:firstLine="709"/>
        <w:jc w:val="both"/>
        <w:rPr>
          <w:rFonts w:ascii="Times New Roman" w:hAnsi="Times New Roman"/>
          <w:sz w:val="24"/>
          <w:szCs w:val="24"/>
        </w:rPr>
      </w:pPr>
      <w:r>
        <w:rPr>
          <w:rFonts w:ascii="Times New Roman" w:hAnsi="Times New Roman"/>
          <w:sz w:val="24"/>
          <w:szCs w:val="24"/>
        </w:rPr>
        <w:t>На плановый период 2016-2017 годов предусматривается снижение объема привлечения  кредитов от кредитных организаций. Так, в</w:t>
      </w:r>
      <w:r w:rsidRPr="00BB77C5">
        <w:rPr>
          <w:rFonts w:ascii="Times New Roman" w:hAnsi="Times New Roman"/>
          <w:sz w:val="24"/>
          <w:szCs w:val="24"/>
        </w:rPr>
        <w:t xml:space="preserve"> 201</w:t>
      </w:r>
      <w:r>
        <w:rPr>
          <w:rFonts w:ascii="Times New Roman" w:hAnsi="Times New Roman"/>
          <w:sz w:val="24"/>
          <w:szCs w:val="24"/>
        </w:rPr>
        <w:t>6</w:t>
      </w:r>
      <w:r w:rsidRPr="00BB77C5">
        <w:rPr>
          <w:rFonts w:ascii="Times New Roman" w:hAnsi="Times New Roman"/>
          <w:sz w:val="24"/>
          <w:szCs w:val="24"/>
        </w:rPr>
        <w:t xml:space="preserve"> году объем привлечения банковских кредитов </w:t>
      </w:r>
      <w:r>
        <w:rPr>
          <w:rFonts w:ascii="Times New Roman" w:hAnsi="Times New Roman"/>
          <w:sz w:val="24"/>
          <w:szCs w:val="24"/>
        </w:rPr>
        <w:t xml:space="preserve">снизится на 22,0 процента </w:t>
      </w:r>
      <w:r w:rsidRPr="00BB77C5">
        <w:rPr>
          <w:rFonts w:ascii="Times New Roman" w:hAnsi="Times New Roman"/>
          <w:sz w:val="24"/>
          <w:szCs w:val="24"/>
        </w:rPr>
        <w:t>по сравнению с 201</w:t>
      </w:r>
      <w:r>
        <w:rPr>
          <w:rFonts w:ascii="Times New Roman" w:hAnsi="Times New Roman"/>
          <w:sz w:val="24"/>
          <w:szCs w:val="24"/>
        </w:rPr>
        <w:t>5</w:t>
      </w:r>
      <w:r w:rsidRPr="00BB77C5">
        <w:rPr>
          <w:rFonts w:ascii="Times New Roman" w:hAnsi="Times New Roman"/>
          <w:sz w:val="24"/>
          <w:szCs w:val="24"/>
        </w:rPr>
        <w:t xml:space="preserve"> годом, и составит </w:t>
      </w:r>
      <w:r>
        <w:rPr>
          <w:rFonts w:ascii="Times New Roman" w:hAnsi="Times New Roman"/>
          <w:sz w:val="24"/>
          <w:szCs w:val="24"/>
        </w:rPr>
        <w:t>17485660,8</w:t>
      </w:r>
      <w:r w:rsidRPr="00BB77C5">
        <w:rPr>
          <w:rFonts w:ascii="Times New Roman" w:hAnsi="Times New Roman"/>
          <w:sz w:val="24"/>
          <w:szCs w:val="24"/>
        </w:rPr>
        <w:t xml:space="preserve"> тыс. рублей, в 201</w:t>
      </w:r>
      <w:r>
        <w:rPr>
          <w:rFonts w:ascii="Times New Roman" w:hAnsi="Times New Roman"/>
          <w:sz w:val="24"/>
          <w:szCs w:val="24"/>
        </w:rPr>
        <w:t>7</w:t>
      </w:r>
      <w:r w:rsidRPr="00BB77C5">
        <w:rPr>
          <w:rFonts w:ascii="Times New Roman" w:hAnsi="Times New Roman"/>
          <w:sz w:val="24"/>
          <w:szCs w:val="24"/>
        </w:rPr>
        <w:t xml:space="preserve"> </w:t>
      </w:r>
      <w:r>
        <w:rPr>
          <w:rFonts w:ascii="Times New Roman" w:hAnsi="Times New Roman"/>
          <w:sz w:val="24"/>
          <w:szCs w:val="24"/>
        </w:rPr>
        <w:t xml:space="preserve">году </w:t>
      </w:r>
      <w:r w:rsidRPr="00BB77C5">
        <w:rPr>
          <w:rFonts w:ascii="Times New Roman" w:hAnsi="Times New Roman"/>
          <w:sz w:val="24"/>
          <w:szCs w:val="24"/>
        </w:rPr>
        <w:t xml:space="preserve">объем привлечения банковских кредитов </w:t>
      </w:r>
      <w:r>
        <w:rPr>
          <w:rFonts w:ascii="Times New Roman" w:hAnsi="Times New Roman"/>
          <w:sz w:val="24"/>
          <w:szCs w:val="24"/>
        </w:rPr>
        <w:t>составит 2745333,2 тыс. рублей, что меньше по сравнению</w:t>
      </w:r>
      <w:r w:rsidR="00633E92">
        <w:rPr>
          <w:rFonts w:ascii="Times New Roman" w:hAnsi="Times New Roman"/>
          <w:sz w:val="24"/>
          <w:szCs w:val="24"/>
        </w:rPr>
        <w:t xml:space="preserve"> с 2015 годом на 87,8 процента.</w:t>
      </w:r>
    </w:p>
    <w:p w:rsidR="00000921" w:rsidRDefault="00000921" w:rsidP="00000921">
      <w:pPr>
        <w:pStyle w:val="ConsPlusNormal"/>
        <w:ind w:firstLine="708"/>
        <w:jc w:val="both"/>
        <w:rPr>
          <w:rFonts w:ascii="Times New Roman" w:hAnsi="Times New Roman"/>
          <w:sz w:val="24"/>
          <w:szCs w:val="24"/>
        </w:rPr>
      </w:pPr>
      <w:r>
        <w:rPr>
          <w:rFonts w:ascii="Times New Roman" w:hAnsi="Times New Roman"/>
          <w:sz w:val="24"/>
          <w:szCs w:val="24"/>
        </w:rPr>
        <w:t>Погашение кредитов кредитных организаций в 2015 году запланировано в объеме 18491760,0 тыс. рублей, в 2016 году – 15737010,7 тыс. рублей, в 201</w:t>
      </w:r>
      <w:r w:rsidR="00633E92">
        <w:rPr>
          <w:rFonts w:ascii="Times New Roman" w:hAnsi="Times New Roman"/>
          <w:sz w:val="24"/>
          <w:szCs w:val="24"/>
        </w:rPr>
        <w:t>7 году – 9840000,0 тыс. рублей.</w:t>
      </w:r>
    </w:p>
    <w:p w:rsidR="00000921" w:rsidRDefault="00000921" w:rsidP="0000092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Объем погашения бюджетных кредитов, полученных из федерального бюджета, запланирован на 2015 год в размере 2343614,9 тыс. рублей, на 2016 год – 1479595,2 тыс. рублей, на 2</w:t>
      </w:r>
      <w:r w:rsidR="00633E92">
        <w:rPr>
          <w:rFonts w:ascii="Times New Roman" w:hAnsi="Times New Roman"/>
          <w:sz w:val="24"/>
          <w:szCs w:val="24"/>
        </w:rPr>
        <w:t>017 год – 360000,0 тыс. рублей.</w:t>
      </w:r>
    </w:p>
    <w:p w:rsidR="00000921" w:rsidRDefault="00000921" w:rsidP="0000092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Получение бюджетных кредитов за счет средств федерального бюджета на пополнение остатков средств на счетах бюджетов субъектов Российской Федерации на </w:t>
      </w:r>
      <w:r>
        <w:rPr>
          <w:rFonts w:ascii="Times New Roman" w:eastAsiaTheme="minorHAnsi" w:hAnsi="Times New Roman"/>
          <w:sz w:val="24"/>
          <w:szCs w:val="24"/>
          <w:lang w:eastAsia="en-US"/>
        </w:rPr>
        <w:br/>
        <w:t>2015 год планируется в объеме 23180850,8 тыс. рублей, на 2016 год -24633740,5 тыс. рублей, на 2017 год – 26445095,7 тыс. рублей. Погашение указанных кредитов на 2015-2017 годы предусмотр</w:t>
      </w:r>
      <w:r w:rsidR="00633E92">
        <w:rPr>
          <w:rFonts w:ascii="Times New Roman" w:eastAsiaTheme="minorHAnsi" w:hAnsi="Times New Roman"/>
          <w:sz w:val="24"/>
          <w:szCs w:val="24"/>
          <w:lang w:eastAsia="en-US"/>
        </w:rPr>
        <w:t>ено в объемах их получения.</w:t>
      </w:r>
    </w:p>
    <w:p w:rsidR="00000921" w:rsidRPr="003F67E9" w:rsidRDefault="00000921" w:rsidP="00000921">
      <w:pPr>
        <w:spacing w:after="0" w:line="240" w:lineRule="auto"/>
        <w:ind w:firstLine="709"/>
        <w:jc w:val="both"/>
        <w:rPr>
          <w:rFonts w:ascii="Times New Roman" w:hAnsi="Times New Roman"/>
          <w:sz w:val="24"/>
          <w:szCs w:val="24"/>
        </w:rPr>
      </w:pPr>
      <w:r w:rsidRPr="00985128">
        <w:rPr>
          <w:rFonts w:ascii="Times New Roman" w:hAnsi="Times New Roman"/>
          <w:sz w:val="24"/>
          <w:szCs w:val="24"/>
        </w:rPr>
        <w:t>Поступления от продажи акций и иных форм участия в капитале, находящихся в собственности Амурской области запланированы на 2015 год в объеме 25000,0 тыс. рублей, на 2016 год – 40000,0 тыс. рублей.</w:t>
      </w:r>
      <w:r w:rsidRPr="00836BB0">
        <w:rPr>
          <w:rFonts w:ascii="Times New Roman" w:hAnsi="Times New Roman"/>
          <w:sz w:val="24"/>
          <w:szCs w:val="24"/>
        </w:rPr>
        <w:t xml:space="preserve"> </w:t>
      </w:r>
      <w:r w:rsidRPr="003F67E9">
        <w:rPr>
          <w:rFonts w:ascii="Times New Roman" w:hAnsi="Times New Roman"/>
          <w:sz w:val="24"/>
          <w:szCs w:val="24"/>
        </w:rPr>
        <w:t>Согласно прогнозному плану (программе) приватизации имущества Амурской области на 2014–2016 годы предполагается приватизировать акции шести открытых акционерных обществ, находящихся в собственности области, два государственных унитарных предприятия Амурской области и объект недвижимого имуще</w:t>
      </w:r>
      <w:r w:rsidR="00633E92">
        <w:rPr>
          <w:rFonts w:ascii="Times New Roman" w:hAnsi="Times New Roman"/>
          <w:sz w:val="24"/>
          <w:szCs w:val="24"/>
        </w:rPr>
        <w:t>ства, учтенный в казне области.</w:t>
      </w:r>
    </w:p>
    <w:p w:rsidR="00000921" w:rsidRDefault="00000921" w:rsidP="00000921">
      <w:pPr>
        <w:spacing w:after="0" w:line="240" w:lineRule="auto"/>
        <w:ind w:firstLine="709"/>
        <w:jc w:val="both"/>
        <w:rPr>
          <w:rFonts w:ascii="Times New Roman" w:hAnsi="Times New Roman"/>
          <w:sz w:val="24"/>
          <w:szCs w:val="24"/>
        </w:rPr>
      </w:pPr>
      <w:r w:rsidRPr="009B6A85">
        <w:rPr>
          <w:rFonts w:ascii="Times New Roman" w:hAnsi="Times New Roman"/>
          <w:sz w:val="24"/>
          <w:szCs w:val="24"/>
        </w:rPr>
        <w:t>В результате реализации программы приватизации ожидается пополнение областного бюджета на 25000,0 тыс. рублей в 2015 году, 4</w:t>
      </w:r>
      <w:r w:rsidR="00633E92">
        <w:rPr>
          <w:rFonts w:ascii="Times New Roman" w:hAnsi="Times New Roman"/>
          <w:sz w:val="24"/>
          <w:szCs w:val="24"/>
        </w:rPr>
        <w:t>0000,0 тыс. рублей в 2016 году.</w:t>
      </w:r>
    </w:p>
    <w:p w:rsidR="00000921" w:rsidRPr="00FD0BEA" w:rsidRDefault="00000921" w:rsidP="00000921">
      <w:pPr>
        <w:spacing w:after="0" w:line="240" w:lineRule="auto"/>
        <w:ind w:firstLine="709"/>
        <w:jc w:val="both"/>
        <w:rPr>
          <w:rFonts w:ascii="Times New Roman" w:hAnsi="Times New Roman"/>
          <w:sz w:val="24"/>
          <w:szCs w:val="24"/>
        </w:rPr>
      </w:pPr>
      <w:r>
        <w:rPr>
          <w:rFonts w:ascii="Times New Roman" w:hAnsi="Times New Roman"/>
          <w:sz w:val="24"/>
          <w:szCs w:val="24"/>
        </w:rPr>
        <w:t>Прогнозный план (программа) приватизации имущества Амурской области утвержден на 2014-2016 годы, соответственно в законопроекте на 2017 год средства</w:t>
      </w:r>
      <w:r w:rsidRPr="00E50FE2">
        <w:rPr>
          <w:rFonts w:ascii="Times New Roman" w:hAnsi="Times New Roman"/>
          <w:sz w:val="24"/>
          <w:szCs w:val="24"/>
        </w:rPr>
        <w:t xml:space="preserve"> </w:t>
      </w:r>
      <w:r w:rsidRPr="00FD0BEA">
        <w:rPr>
          <w:rFonts w:ascii="Times New Roman" w:hAnsi="Times New Roman"/>
          <w:sz w:val="24"/>
          <w:szCs w:val="24"/>
        </w:rPr>
        <w:t>от продажи акций и иных форм участия в капитале, находящихся в собственности Амурской области</w:t>
      </w:r>
      <w:r w:rsidR="00D67A26">
        <w:rPr>
          <w:rFonts w:ascii="Times New Roman" w:hAnsi="Times New Roman"/>
          <w:sz w:val="24"/>
          <w:szCs w:val="24"/>
        </w:rPr>
        <w:t>,</w:t>
      </w:r>
      <w:r>
        <w:rPr>
          <w:rFonts w:ascii="Times New Roman" w:hAnsi="Times New Roman"/>
          <w:sz w:val="24"/>
          <w:szCs w:val="24"/>
        </w:rPr>
        <w:t xml:space="preserve"> не предусмотрены.</w:t>
      </w:r>
    </w:p>
    <w:p w:rsidR="00000921" w:rsidRDefault="00000921" w:rsidP="00000921">
      <w:pPr>
        <w:spacing w:after="0" w:line="240" w:lineRule="auto"/>
        <w:ind w:firstLine="709"/>
        <w:jc w:val="both"/>
        <w:rPr>
          <w:rFonts w:ascii="Times New Roman" w:hAnsi="Times New Roman"/>
          <w:sz w:val="24"/>
          <w:szCs w:val="24"/>
        </w:rPr>
      </w:pPr>
      <w:r w:rsidRPr="005F2AD6">
        <w:rPr>
          <w:rFonts w:ascii="Times New Roman" w:hAnsi="Times New Roman"/>
          <w:sz w:val="24"/>
          <w:szCs w:val="24"/>
        </w:rPr>
        <w:t xml:space="preserve">Постановлением </w:t>
      </w:r>
      <w:r>
        <w:rPr>
          <w:rFonts w:ascii="Times New Roman" w:hAnsi="Times New Roman"/>
          <w:sz w:val="24"/>
          <w:szCs w:val="24"/>
        </w:rPr>
        <w:t>П</w:t>
      </w:r>
      <w:r w:rsidRPr="005F2AD6">
        <w:rPr>
          <w:rFonts w:ascii="Times New Roman" w:hAnsi="Times New Roman"/>
          <w:sz w:val="24"/>
          <w:szCs w:val="24"/>
        </w:rPr>
        <w:t>равительства Амурской области от 06.03.2008 № 53 утверж</w:t>
      </w:r>
      <w:r>
        <w:rPr>
          <w:rFonts w:ascii="Times New Roman" w:hAnsi="Times New Roman"/>
          <w:sz w:val="24"/>
          <w:szCs w:val="24"/>
        </w:rPr>
        <w:t>д</w:t>
      </w:r>
      <w:r w:rsidRPr="005F2AD6">
        <w:rPr>
          <w:rFonts w:ascii="Times New Roman" w:hAnsi="Times New Roman"/>
          <w:sz w:val="24"/>
          <w:szCs w:val="24"/>
        </w:rPr>
        <w:t>ены правила разработки прогнозного плана (программы) приватизации областного имущества</w:t>
      </w:r>
      <w:r>
        <w:rPr>
          <w:rFonts w:ascii="Times New Roman" w:hAnsi="Times New Roman"/>
          <w:sz w:val="24"/>
          <w:szCs w:val="24"/>
        </w:rPr>
        <w:t>, согласно которым определены структура, содержание, порядок и сроки разработки прогнозного плана (программы) приватизации областного имущества в плановом периоде, и который составляет срок от одного до трех лет.</w:t>
      </w:r>
    </w:p>
    <w:p w:rsidR="00000921" w:rsidRDefault="00000921" w:rsidP="0000092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Контрольно-счетная палата Амурской области отмечает, что плановый период прогнозного плана (программы) приватизации областного имущества не совпадает с плановым периодом законопроекта, при этом прогнозный план (программа) приватизации областного имущества служит основанием для формирования областного бюджета.</w:t>
      </w:r>
    </w:p>
    <w:p w:rsidR="00000921" w:rsidRDefault="00000921" w:rsidP="0000092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t>Кроме того, в соответствии с пунктом 5 указанного выше постановления  Правительства Амурской области</w:t>
      </w:r>
      <w:r w:rsidRPr="009D0E20">
        <w:rPr>
          <w:rFonts w:ascii="Times New Roman" w:hAnsi="Times New Roman"/>
          <w:sz w:val="24"/>
          <w:szCs w:val="24"/>
        </w:rPr>
        <w:t xml:space="preserve"> </w:t>
      </w:r>
      <w:r>
        <w:rPr>
          <w:rFonts w:ascii="Times New Roman" w:hAnsi="Times New Roman"/>
          <w:sz w:val="24"/>
          <w:szCs w:val="24"/>
        </w:rPr>
        <w:t xml:space="preserve">прогнозный план (программа) приватизации областного имущества </w:t>
      </w:r>
      <w:r>
        <w:rPr>
          <w:rFonts w:ascii="Times New Roman" w:eastAsiaTheme="minorHAnsi" w:hAnsi="Times New Roman"/>
          <w:sz w:val="24"/>
          <w:szCs w:val="24"/>
          <w:lang w:eastAsia="en-US"/>
        </w:rPr>
        <w:t>состоит из двух разделов. Первый раздел содержит основные направления и задачи приватизации областного имущества на плановый период, количественные характеристики имущества, подлежащего приватизации, а также с разбивкой по годам описание крупнейших объектов приватизации и прогноз объемов поступлений доходов в областной бюджет при продаже областного имущества.</w:t>
      </w:r>
    </w:p>
    <w:p w:rsidR="00000921" w:rsidRDefault="00000921" w:rsidP="0000092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Утвержденный п</w:t>
      </w:r>
      <w:r>
        <w:rPr>
          <w:rFonts w:ascii="Times New Roman" w:hAnsi="Times New Roman"/>
          <w:sz w:val="24"/>
          <w:szCs w:val="24"/>
        </w:rPr>
        <w:t>рогнозный план (программа) приватизации имущества Амурской области на 2014-2016 годы не содержит данных об</w:t>
      </w:r>
      <w:r>
        <w:rPr>
          <w:rFonts w:ascii="Times New Roman" w:eastAsiaTheme="minorHAnsi" w:hAnsi="Times New Roman"/>
          <w:sz w:val="24"/>
          <w:szCs w:val="24"/>
          <w:lang w:eastAsia="en-US"/>
        </w:rPr>
        <w:t xml:space="preserve"> объектах приватизации</w:t>
      </w:r>
      <w:r w:rsidRPr="009D0E20">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 разбивкой по годам, что не позволяет сопоставить данные, отраженные в законопроекте, с данными п</w:t>
      </w:r>
      <w:r>
        <w:rPr>
          <w:rFonts w:ascii="Times New Roman" w:hAnsi="Times New Roman"/>
          <w:sz w:val="24"/>
          <w:szCs w:val="24"/>
        </w:rPr>
        <w:t>рогнозного плана (программа) приватизации имущества Амурской области.</w:t>
      </w:r>
    </w:p>
    <w:p w:rsidR="00000921" w:rsidRDefault="00000921" w:rsidP="00000921">
      <w:pPr>
        <w:spacing w:after="0" w:line="240" w:lineRule="auto"/>
        <w:ind w:firstLine="709"/>
        <w:jc w:val="both"/>
        <w:rPr>
          <w:rFonts w:ascii="Times New Roman" w:hAnsi="Times New Roman"/>
          <w:sz w:val="24"/>
          <w:szCs w:val="24"/>
        </w:rPr>
      </w:pPr>
      <w:r w:rsidRPr="00ED160E">
        <w:rPr>
          <w:rFonts w:ascii="Times New Roman" w:hAnsi="Times New Roman"/>
          <w:sz w:val="24"/>
          <w:szCs w:val="24"/>
        </w:rPr>
        <w:t xml:space="preserve">В источники  финансирования дефицита областного бюджета включено возможное исполнение государственных гарантий при наступлении гарантийного случая по выданным гарантиям Амурской области </w:t>
      </w:r>
      <w:r>
        <w:rPr>
          <w:rFonts w:ascii="Times New Roman" w:hAnsi="Times New Roman"/>
          <w:sz w:val="24"/>
          <w:szCs w:val="24"/>
        </w:rPr>
        <w:t>на 2015 год –</w:t>
      </w:r>
      <w:r w:rsidRPr="00ED160E">
        <w:rPr>
          <w:rFonts w:ascii="Times New Roman" w:hAnsi="Times New Roman"/>
          <w:sz w:val="24"/>
          <w:szCs w:val="24"/>
        </w:rPr>
        <w:t xml:space="preserve"> </w:t>
      </w:r>
      <w:r>
        <w:rPr>
          <w:rFonts w:ascii="Times New Roman" w:hAnsi="Times New Roman"/>
          <w:sz w:val="24"/>
          <w:szCs w:val="24"/>
        </w:rPr>
        <w:t>63932,3</w:t>
      </w:r>
      <w:r w:rsidRPr="00ED160E">
        <w:rPr>
          <w:rFonts w:ascii="Times New Roman" w:hAnsi="Times New Roman"/>
          <w:sz w:val="24"/>
          <w:szCs w:val="24"/>
        </w:rPr>
        <w:t xml:space="preserve"> тыс. рублей,</w:t>
      </w:r>
      <w:r w:rsidR="00633E92">
        <w:rPr>
          <w:rFonts w:ascii="Times New Roman" w:hAnsi="Times New Roman"/>
          <w:sz w:val="24"/>
          <w:szCs w:val="24"/>
        </w:rPr>
        <w:t xml:space="preserve"> </w:t>
      </w:r>
      <w:r>
        <w:rPr>
          <w:rFonts w:ascii="Times New Roman" w:hAnsi="Times New Roman"/>
          <w:sz w:val="24"/>
          <w:szCs w:val="24"/>
        </w:rPr>
        <w:t>на 2016 год – 37804,7 тыс. рублей, 2017 год – 23690,1 тыс. рублей.</w:t>
      </w:r>
      <w:r w:rsidRPr="00ED160E">
        <w:rPr>
          <w:rFonts w:ascii="Times New Roman" w:hAnsi="Times New Roman"/>
          <w:sz w:val="24"/>
          <w:szCs w:val="24"/>
        </w:rPr>
        <w:t xml:space="preserve"> </w:t>
      </w:r>
      <w:r>
        <w:rPr>
          <w:rFonts w:ascii="Times New Roman" w:hAnsi="Times New Roman"/>
          <w:sz w:val="24"/>
          <w:szCs w:val="24"/>
        </w:rPr>
        <w:t xml:space="preserve">Предоставление бюджетных кредитов, связанных с исполнением гарантом государственных гарантий области, предусмотрено </w:t>
      </w:r>
      <w:r w:rsidR="00633E92">
        <w:rPr>
          <w:rFonts w:ascii="Times New Roman" w:hAnsi="Times New Roman"/>
          <w:sz w:val="24"/>
          <w:szCs w:val="24"/>
        </w:rPr>
        <w:br/>
      </w:r>
      <w:r>
        <w:rPr>
          <w:rFonts w:ascii="Times New Roman" w:hAnsi="Times New Roman"/>
          <w:sz w:val="24"/>
          <w:szCs w:val="24"/>
        </w:rPr>
        <w:t>на 2015-2017 годы в объеме бюджетных ассигнований на исполнение по гарантийным случаям.</w:t>
      </w:r>
    </w:p>
    <w:p w:rsidR="00000921" w:rsidRDefault="00000921" w:rsidP="00000921">
      <w:pPr>
        <w:spacing w:after="0" w:line="240" w:lineRule="auto"/>
        <w:ind w:firstLine="708"/>
        <w:jc w:val="both"/>
        <w:rPr>
          <w:rFonts w:ascii="Times New Roman" w:hAnsi="Times New Roman"/>
          <w:sz w:val="24"/>
          <w:szCs w:val="24"/>
        </w:rPr>
      </w:pPr>
      <w:r w:rsidRPr="00ED160E">
        <w:rPr>
          <w:rFonts w:ascii="Times New Roman" w:hAnsi="Times New Roman"/>
          <w:sz w:val="24"/>
          <w:szCs w:val="24"/>
        </w:rPr>
        <w:t xml:space="preserve">Кроме того, в источниках внутреннего финансирования дефицита областного бюджета </w:t>
      </w:r>
      <w:r>
        <w:rPr>
          <w:rFonts w:ascii="Times New Roman" w:hAnsi="Times New Roman"/>
          <w:sz w:val="24"/>
          <w:szCs w:val="24"/>
        </w:rPr>
        <w:t xml:space="preserve">предусмотрен возврат </w:t>
      </w:r>
      <w:r w:rsidRPr="00ED160E">
        <w:rPr>
          <w:rFonts w:ascii="Times New Roman" w:hAnsi="Times New Roman"/>
          <w:sz w:val="24"/>
          <w:szCs w:val="24"/>
        </w:rPr>
        <w:t>бюджетных кредитов</w:t>
      </w:r>
      <w:r>
        <w:rPr>
          <w:rFonts w:ascii="Times New Roman" w:hAnsi="Times New Roman"/>
          <w:sz w:val="24"/>
          <w:szCs w:val="24"/>
        </w:rPr>
        <w:t>, предоставленных</w:t>
      </w:r>
      <w:r w:rsidRPr="00ED160E">
        <w:rPr>
          <w:rFonts w:ascii="Times New Roman" w:hAnsi="Times New Roman"/>
          <w:sz w:val="24"/>
          <w:szCs w:val="24"/>
        </w:rPr>
        <w:t xml:space="preserve"> бюджетам муниципальных районов, городских округов</w:t>
      </w:r>
      <w:r>
        <w:rPr>
          <w:rFonts w:ascii="Times New Roman" w:hAnsi="Times New Roman"/>
          <w:sz w:val="24"/>
          <w:szCs w:val="24"/>
        </w:rPr>
        <w:t xml:space="preserve">: в 2015 году </w:t>
      </w:r>
      <w:r w:rsidRPr="00ED160E">
        <w:rPr>
          <w:rFonts w:ascii="Times New Roman" w:hAnsi="Times New Roman"/>
          <w:bCs/>
          <w:sz w:val="24"/>
          <w:szCs w:val="24"/>
        </w:rPr>
        <w:t xml:space="preserve">в сумме </w:t>
      </w:r>
      <w:r>
        <w:rPr>
          <w:rFonts w:ascii="Times New Roman" w:hAnsi="Times New Roman"/>
          <w:bCs/>
          <w:sz w:val="24"/>
          <w:szCs w:val="24"/>
        </w:rPr>
        <w:t>33166,0</w:t>
      </w:r>
      <w:r w:rsidRPr="00ED160E">
        <w:rPr>
          <w:rFonts w:ascii="Times New Roman" w:hAnsi="Times New Roman"/>
          <w:bCs/>
          <w:sz w:val="24"/>
          <w:szCs w:val="24"/>
        </w:rPr>
        <w:t xml:space="preserve"> тыс. рублей</w:t>
      </w:r>
      <w:r>
        <w:rPr>
          <w:rFonts w:ascii="Times New Roman" w:hAnsi="Times New Roman"/>
          <w:bCs/>
          <w:sz w:val="24"/>
          <w:szCs w:val="24"/>
        </w:rPr>
        <w:t>, в 2016 году – 36743,0 тыс. рублей, в 2017 году – 92361,1 тыс. рублей</w:t>
      </w:r>
      <w:r w:rsidRPr="00ED160E">
        <w:rPr>
          <w:rFonts w:ascii="Times New Roman" w:hAnsi="Times New Roman"/>
          <w:sz w:val="24"/>
          <w:szCs w:val="24"/>
        </w:rPr>
        <w:t>.</w:t>
      </w:r>
    </w:p>
    <w:p w:rsidR="004C2E5E" w:rsidRDefault="00000921" w:rsidP="004C2E5E">
      <w:pPr>
        <w:spacing w:after="0" w:line="240" w:lineRule="auto"/>
        <w:ind w:firstLine="708"/>
        <w:jc w:val="both"/>
        <w:rPr>
          <w:rFonts w:ascii="Times New Roman" w:hAnsi="Times New Roman"/>
          <w:sz w:val="24"/>
          <w:szCs w:val="24"/>
        </w:rPr>
      </w:pPr>
      <w:r>
        <w:rPr>
          <w:rFonts w:ascii="Times New Roman" w:hAnsi="Times New Roman"/>
          <w:sz w:val="24"/>
          <w:szCs w:val="24"/>
        </w:rPr>
        <w:t>Возврат основного долга по бюджетным кредитам, предоставленным ГУП «Агро»</w:t>
      </w:r>
      <w:r w:rsidR="00633E92">
        <w:rPr>
          <w:rFonts w:ascii="Times New Roman" w:hAnsi="Times New Roman"/>
          <w:sz w:val="24"/>
          <w:szCs w:val="24"/>
        </w:rPr>
        <w:t>,</w:t>
      </w:r>
      <w:r>
        <w:rPr>
          <w:rFonts w:ascii="Times New Roman" w:hAnsi="Times New Roman"/>
          <w:sz w:val="24"/>
          <w:szCs w:val="24"/>
        </w:rPr>
        <w:t xml:space="preserve"> в 2015 году предусмотрен в размере 322468,3 тыс. рублей, в 2016 году – 322468,3 тыс. рублей.</w:t>
      </w:r>
    </w:p>
    <w:p w:rsidR="004C2E5E" w:rsidRDefault="004C2E5E" w:rsidP="004C2E5E">
      <w:pPr>
        <w:spacing w:after="0" w:line="240" w:lineRule="auto"/>
        <w:ind w:firstLine="708"/>
        <w:jc w:val="both"/>
        <w:rPr>
          <w:rFonts w:ascii="Times New Roman" w:hAnsi="Times New Roman"/>
          <w:b/>
          <w:sz w:val="24"/>
          <w:szCs w:val="24"/>
        </w:rPr>
      </w:pPr>
    </w:p>
    <w:p w:rsidR="000E7090" w:rsidRDefault="000E7090" w:rsidP="004C2E5E">
      <w:pPr>
        <w:spacing w:after="0" w:line="240" w:lineRule="auto"/>
        <w:ind w:firstLine="708"/>
        <w:jc w:val="both"/>
        <w:rPr>
          <w:rFonts w:ascii="Times New Roman" w:hAnsi="Times New Roman"/>
          <w:b/>
          <w:sz w:val="24"/>
          <w:szCs w:val="24"/>
        </w:rPr>
      </w:pPr>
    </w:p>
    <w:p w:rsidR="004C2E5E" w:rsidRPr="004C2E5E" w:rsidRDefault="004C2E5E" w:rsidP="00DA5F4F">
      <w:pPr>
        <w:pStyle w:val="ad"/>
        <w:numPr>
          <w:ilvl w:val="0"/>
          <w:numId w:val="14"/>
        </w:numPr>
        <w:spacing w:after="0" w:line="240" w:lineRule="auto"/>
        <w:jc w:val="center"/>
        <w:rPr>
          <w:rFonts w:ascii="Times New Roman" w:hAnsi="Times New Roman"/>
          <w:b/>
          <w:sz w:val="24"/>
          <w:szCs w:val="24"/>
        </w:rPr>
      </w:pPr>
      <w:r w:rsidRPr="004C2E5E">
        <w:rPr>
          <w:rFonts w:ascii="Times New Roman" w:hAnsi="Times New Roman"/>
          <w:b/>
          <w:sz w:val="24"/>
          <w:szCs w:val="24"/>
        </w:rPr>
        <w:t xml:space="preserve">Расходы областного бюджета на 2015 год и плановый период </w:t>
      </w:r>
      <w:r>
        <w:rPr>
          <w:rFonts w:ascii="Times New Roman" w:hAnsi="Times New Roman"/>
          <w:b/>
          <w:sz w:val="24"/>
          <w:szCs w:val="24"/>
        </w:rPr>
        <w:br/>
      </w:r>
      <w:r w:rsidRPr="004C2E5E">
        <w:rPr>
          <w:rFonts w:ascii="Times New Roman" w:hAnsi="Times New Roman"/>
          <w:b/>
          <w:sz w:val="24"/>
          <w:szCs w:val="24"/>
        </w:rPr>
        <w:t>2016 и 2017 годов</w:t>
      </w:r>
    </w:p>
    <w:p w:rsidR="004C2E5E" w:rsidRDefault="004C2E5E" w:rsidP="004C2E5E">
      <w:pPr>
        <w:tabs>
          <w:tab w:val="left" w:pos="9656"/>
        </w:tabs>
        <w:spacing w:after="0" w:line="240" w:lineRule="auto"/>
        <w:ind w:firstLine="680"/>
        <w:jc w:val="both"/>
        <w:rPr>
          <w:rFonts w:ascii="Times New Roman" w:hAnsi="Times New Roman"/>
          <w:b/>
          <w:sz w:val="24"/>
          <w:szCs w:val="24"/>
        </w:rPr>
      </w:pPr>
    </w:p>
    <w:p w:rsidR="004C2E5E" w:rsidRDefault="004C2E5E" w:rsidP="004C2E5E">
      <w:pPr>
        <w:tabs>
          <w:tab w:val="left" w:pos="9656"/>
        </w:tabs>
        <w:spacing w:after="0" w:line="240" w:lineRule="auto"/>
        <w:ind w:firstLine="680"/>
        <w:jc w:val="both"/>
        <w:rPr>
          <w:rFonts w:ascii="Times New Roman" w:hAnsi="Times New Roman"/>
          <w:sz w:val="24"/>
          <w:szCs w:val="24"/>
        </w:rPr>
      </w:pPr>
      <w:r>
        <w:rPr>
          <w:rFonts w:ascii="Times New Roman" w:hAnsi="Times New Roman"/>
          <w:sz w:val="24"/>
          <w:szCs w:val="24"/>
        </w:rPr>
        <w:t>Расходы</w:t>
      </w:r>
      <w:r>
        <w:rPr>
          <w:rFonts w:ascii="Times New Roman" w:hAnsi="Times New Roman"/>
          <w:b/>
          <w:i/>
          <w:sz w:val="24"/>
          <w:szCs w:val="24"/>
        </w:rPr>
        <w:t xml:space="preserve"> </w:t>
      </w:r>
      <w:r>
        <w:rPr>
          <w:rFonts w:ascii="Times New Roman" w:hAnsi="Times New Roman"/>
          <w:sz w:val="24"/>
          <w:szCs w:val="24"/>
        </w:rPr>
        <w:t>на 2015 год в представленном к первому чтению</w:t>
      </w:r>
      <w:r>
        <w:rPr>
          <w:rFonts w:ascii="Times New Roman" w:hAnsi="Times New Roman"/>
          <w:b/>
          <w:i/>
          <w:sz w:val="24"/>
          <w:szCs w:val="24"/>
        </w:rPr>
        <w:t xml:space="preserve"> </w:t>
      </w:r>
      <w:r>
        <w:rPr>
          <w:rFonts w:ascii="Times New Roman" w:hAnsi="Times New Roman"/>
          <w:sz w:val="24"/>
          <w:szCs w:val="24"/>
        </w:rPr>
        <w:t xml:space="preserve">проекте областного бюджета определены в объеме </w:t>
      </w:r>
      <w:r w:rsidRPr="00161E26">
        <w:rPr>
          <w:rFonts w:ascii="Times New Roman" w:hAnsi="Times New Roman"/>
          <w:sz w:val="24"/>
          <w:szCs w:val="24"/>
        </w:rPr>
        <w:t>35848558,8</w:t>
      </w:r>
      <w:r>
        <w:rPr>
          <w:rFonts w:ascii="Times New Roman" w:hAnsi="Times New Roman"/>
          <w:sz w:val="24"/>
          <w:szCs w:val="24"/>
        </w:rPr>
        <w:t xml:space="preserve"> тыс. рублей, что на уровне</w:t>
      </w:r>
      <w:r>
        <w:rPr>
          <w:rFonts w:ascii="Times New Roman" w:hAnsi="Times New Roman"/>
          <w:color w:val="333399"/>
          <w:sz w:val="24"/>
          <w:szCs w:val="24"/>
        </w:rPr>
        <w:t xml:space="preserve"> </w:t>
      </w:r>
      <w:r>
        <w:rPr>
          <w:rFonts w:ascii="Times New Roman" w:hAnsi="Times New Roman"/>
          <w:sz w:val="24"/>
          <w:szCs w:val="24"/>
        </w:rPr>
        <w:t>71,0 процента к утвержденным расходам областного бюджета на 2014 год</w:t>
      </w:r>
      <w:r>
        <w:rPr>
          <w:rFonts w:ascii="Times New Roman" w:hAnsi="Times New Roman"/>
          <w:color w:val="333399"/>
          <w:sz w:val="24"/>
          <w:szCs w:val="24"/>
        </w:rPr>
        <w:t xml:space="preserve"> </w:t>
      </w:r>
      <w:r>
        <w:rPr>
          <w:rFonts w:ascii="Times New Roman" w:hAnsi="Times New Roman"/>
          <w:sz w:val="24"/>
          <w:szCs w:val="24"/>
        </w:rPr>
        <w:t>и 63,6 процента к ожидаемому исполнению за 2014 год.</w:t>
      </w:r>
    </w:p>
    <w:p w:rsidR="004C2E5E" w:rsidRDefault="004C2E5E" w:rsidP="004C2E5E">
      <w:pPr>
        <w:tabs>
          <w:tab w:val="left" w:pos="9656"/>
        </w:tabs>
        <w:spacing w:after="0" w:line="240" w:lineRule="auto"/>
        <w:ind w:firstLine="680"/>
        <w:jc w:val="both"/>
        <w:rPr>
          <w:rFonts w:ascii="Times New Roman" w:hAnsi="Times New Roman"/>
          <w:sz w:val="24"/>
          <w:szCs w:val="24"/>
        </w:rPr>
      </w:pPr>
      <w:r>
        <w:rPr>
          <w:rFonts w:ascii="Times New Roman" w:hAnsi="Times New Roman"/>
          <w:sz w:val="24"/>
          <w:szCs w:val="24"/>
        </w:rPr>
        <w:t xml:space="preserve">Объем расходов на 2016 год спроектирован в сумме </w:t>
      </w:r>
      <w:r w:rsidRPr="00B31603">
        <w:rPr>
          <w:rFonts w:ascii="Times New Roman" w:hAnsi="Times New Roman"/>
          <w:sz w:val="24"/>
          <w:szCs w:val="24"/>
        </w:rPr>
        <w:t xml:space="preserve">35066182,6 тыс. рублей, или </w:t>
      </w:r>
      <w:r w:rsidRPr="00B31603">
        <w:rPr>
          <w:rFonts w:ascii="Times New Roman" w:hAnsi="Times New Roman"/>
          <w:sz w:val="24"/>
          <w:szCs w:val="24"/>
        </w:rPr>
        <w:br/>
        <w:t xml:space="preserve">97,8 процента к плановому объему расходов на 2015 год, на 2017 год в сумме </w:t>
      </w:r>
      <w:r w:rsidRPr="00B31603">
        <w:rPr>
          <w:rFonts w:ascii="Times New Roman" w:hAnsi="Times New Roman"/>
          <w:sz w:val="24"/>
          <w:szCs w:val="24"/>
        </w:rPr>
        <w:br/>
        <w:t xml:space="preserve">29095506,7 тыс. рублей, или 81,2 процента к плановому объему расходов на 2015 год и </w:t>
      </w:r>
      <w:r>
        <w:rPr>
          <w:rFonts w:ascii="Times New Roman" w:hAnsi="Times New Roman"/>
          <w:sz w:val="24"/>
          <w:szCs w:val="24"/>
        </w:rPr>
        <w:br/>
      </w:r>
      <w:r w:rsidRPr="00B31603">
        <w:rPr>
          <w:rFonts w:ascii="Times New Roman" w:hAnsi="Times New Roman"/>
          <w:sz w:val="24"/>
          <w:szCs w:val="24"/>
        </w:rPr>
        <w:t>83,0 процента к плановому объему расходов на 2016 год.</w:t>
      </w:r>
    </w:p>
    <w:p w:rsidR="004C2E5E" w:rsidRDefault="004C2E5E" w:rsidP="004C2E5E">
      <w:pPr>
        <w:tabs>
          <w:tab w:val="left" w:pos="9656"/>
        </w:tabs>
        <w:spacing w:after="0" w:line="240" w:lineRule="auto"/>
        <w:ind w:firstLine="680"/>
        <w:jc w:val="both"/>
        <w:rPr>
          <w:rFonts w:ascii="Times New Roman" w:hAnsi="Times New Roman"/>
          <w:sz w:val="24"/>
          <w:szCs w:val="24"/>
        </w:rPr>
      </w:pPr>
      <w:r>
        <w:rPr>
          <w:rFonts w:ascii="Times New Roman" w:hAnsi="Times New Roman"/>
          <w:sz w:val="24"/>
          <w:szCs w:val="24"/>
        </w:rPr>
        <w:t>Областной бюджет сформирован в программном формате. Объем расходов на реализацию государственных программ составляет 35243292,8 тыс. рублей, объем непрограммных расходов – 605266,1 тыс. рублей.</w:t>
      </w:r>
    </w:p>
    <w:p w:rsidR="004C2E5E" w:rsidRPr="00B31603" w:rsidRDefault="004C2E5E" w:rsidP="004C2E5E">
      <w:pPr>
        <w:tabs>
          <w:tab w:val="left" w:pos="9656"/>
        </w:tabs>
        <w:spacing w:after="0" w:line="240" w:lineRule="auto"/>
        <w:ind w:firstLine="680"/>
        <w:jc w:val="both"/>
        <w:rPr>
          <w:rFonts w:ascii="Times New Roman" w:hAnsi="Times New Roman"/>
          <w:sz w:val="24"/>
          <w:szCs w:val="24"/>
        </w:rPr>
      </w:pPr>
      <w:r w:rsidRPr="0017677A">
        <w:rPr>
          <w:rFonts w:ascii="Times New Roman" w:hAnsi="Times New Roman"/>
          <w:sz w:val="24"/>
          <w:szCs w:val="24"/>
        </w:rPr>
        <w:t xml:space="preserve">К непрограммным расходам областного бюджета отнесены расходы на содержание Законодательного Собрания области, контрольно-счетной палаты области, избирательной комиссии области, </w:t>
      </w:r>
      <w:r>
        <w:rPr>
          <w:rFonts w:ascii="Times New Roman" w:hAnsi="Times New Roman"/>
          <w:sz w:val="24"/>
          <w:szCs w:val="24"/>
        </w:rPr>
        <w:t>У</w:t>
      </w:r>
      <w:r w:rsidRPr="0017677A">
        <w:rPr>
          <w:rFonts w:ascii="Times New Roman" w:hAnsi="Times New Roman"/>
          <w:sz w:val="24"/>
          <w:szCs w:val="24"/>
        </w:rPr>
        <w:t>полномоченного по правам человека области, Представительства Амурской области при Президенте Российской Федерации и Правительстве Российской Федерации.</w:t>
      </w:r>
    </w:p>
    <w:p w:rsidR="004C2E5E" w:rsidRPr="00A231CD" w:rsidRDefault="004C2E5E" w:rsidP="004C2E5E">
      <w:pPr>
        <w:tabs>
          <w:tab w:val="left" w:pos="9656"/>
        </w:tabs>
        <w:spacing w:after="0" w:line="240" w:lineRule="auto"/>
        <w:ind w:firstLine="680"/>
        <w:jc w:val="both"/>
        <w:rPr>
          <w:rFonts w:ascii="Times New Roman" w:hAnsi="Times New Roman"/>
          <w:sz w:val="24"/>
          <w:szCs w:val="24"/>
        </w:rPr>
      </w:pPr>
      <w:r w:rsidRPr="00A231CD">
        <w:rPr>
          <w:rFonts w:ascii="Times New Roman" w:hAnsi="Times New Roman"/>
          <w:sz w:val="24"/>
          <w:szCs w:val="24"/>
        </w:rPr>
        <w:t xml:space="preserve">В расходной части проекта областного закона об областном бюджете на 2015 год и плановый период 2016 и 2017 годов не учтены </w:t>
      </w:r>
      <w:r w:rsidR="00A231CD" w:rsidRPr="00A231CD">
        <w:rPr>
          <w:rFonts w:ascii="Times New Roman" w:hAnsi="Times New Roman"/>
          <w:sz w:val="24"/>
          <w:szCs w:val="24"/>
        </w:rPr>
        <w:t xml:space="preserve">расходы, осуществляемые за счет </w:t>
      </w:r>
      <w:r w:rsidRPr="00A231CD">
        <w:rPr>
          <w:rFonts w:ascii="Times New Roman" w:hAnsi="Times New Roman"/>
          <w:sz w:val="24"/>
          <w:szCs w:val="24"/>
        </w:rPr>
        <w:t>целевы</w:t>
      </w:r>
      <w:r w:rsidR="00A231CD" w:rsidRPr="00A231CD">
        <w:rPr>
          <w:rFonts w:ascii="Times New Roman" w:hAnsi="Times New Roman"/>
          <w:sz w:val="24"/>
          <w:szCs w:val="24"/>
        </w:rPr>
        <w:t>х межбюджетных трансфертов</w:t>
      </w:r>
      <w:r w:rsidRPr="00A231CD">
        <w:rPr>
          <w:rFonts w:ascii="Times New Roman" w:hAnsi="Times New Roman"/>
          <w:sz w:val="24"/>
          <w:szCs w:val="24"/>
        </w:rPr>
        <w:t>, предоставляемы</w:t>
      </w:r>
      <w:r w:rsidR="00A231CD" w:rsidRPr="00A231CD">
        <w:rPr>
          <w:rFonts w:ascii="Times New Roman" w:hAnsi="Times New Roman"/>
          <w:sz w:val="24"/>
          <w:szCs w:val="24"/>
        </w:rPr>
        <w:t>х</w:t>
      </w:r>
      <w:r w:rsidRPr="00A231CD">
        <w:rPr>
          <w:rFonts w:ascii="Times New Roman" w:hAnsi="Times New Roman"/>
          <w:sz w:val="24"/>
          <w:szCs w:val="24"/>
        </w:rPr>
        <w:t xml:space="preserve"> из федерального бюджета и </w:t>
      </w:r>
      <w:r w:rsidRPr="00A231CD">
        <w:rPr>
          <w:rFonts w:ascii="Times New Roman" w:hAnsi="Times New Roman"/>
          <w:sz w:val="24"/>
          <w:szCs w:val="24"/>
        </w:rPr>
        <w:lastRenderedPageBreak/>
        <w:t>предусмотренны</w:t>
      </w:r>
      <w:r w:rsidR="00A231CD" w:rsidRPr="00A231CD">
        <w:rPr>
          <w:rFonts w:ascii="Times New Roman" w:hAnsi="Times New Roman"/>
          <w:sz w:val="24"/>
          <w:szCs w:val="24"/>
        </w:rPr>
        <w:t>х</w:t>
      </w:r>
      <w:r w:rsidRPr="00A231CD">
        <w:rPr>
          <w:rFonts w:ascii="Times New Roman" w:hAnsi="Times New Roman"/>
          <w:sz w:val="24"/>
          <w:szCs w:val="24"/>
        </w:rPr>
        <w:t xml:space="preserve"> </w:t>
      </w:r>
      <w:r w:rsidR="00A231CD" w:rsidRPr="00A231CD">
        <w:rPr>
          <w:rFonts w:ascii="Times New Roman" w:hAnsi="Times New Roman"/>
          <w:sz w:val="24"/>
          <w:szCs w:val="24"/>
        </w:rPr>
        <w:t xml:space="preserve">областному </w:t>
      </w:r>
      <w:r w:rsidRPr="00A231CD">
        <w:rPr>
          <w:rFonts w:ascii="Times New Roman" w:hAnsi="Times New Roman"/>
          <w:sz w:val="24"/>
          <w:szCs w:val="24"/>
        </w:rPr>
        <w:t>бюджету проектом федерального закона о федеральном бюджете на 2015 год и плановый период 2016 и 2017 годов.</w:t>
      </w:r>
    </w:p>
    <w:p w:rsidR="004C2E5E" w:rsidRPr="00B31603" w:rsidRDefault="004C2E5E" w:rsidP="004C2E5E">
      <w:pPr>
        <w:tabs>
          <w:tab w:val="left" w:pos="9656"/>
        </w:tabs>
        <w:spacing w:after="0" w:line="240" w:lineRule="auto"/>
        <w:ind w:firstLine="680"/>
        <w:jc w:val="both"/>
        <w:rPr>
          <w:rFonts w:ascii="Times New Roman" w:hAnsi="Times New Roman"/>
          <w:sz w:val="24"/>
          <w:szCs w:val="24"/>
        </w:rPr>
      </w:pPr>
      <w:r w:rsidRPr="00B31603">
        <w:rPr>
          <w:rFonts w:ascii="Times New Roman" w:hAnsi="Times New Roman"/>
          <w:sz w:val="24"/>
          <w:szCs w:val="24"/>
        </w:rPr>
        <w:t xml:space="preserve">Отсутствие в расходной части областного бюджета </w:t>
      </w:r>
      <w:r>
        <w:rPr>
          <w:rFonts w:ascii="Times New Roman" w:hAnsi="Times New Roman"/>
          <w:sz w:val="24"/>
          <w:szCs w:val="24"/>
        </w:rPr>
        <w:t xml:space="preserve">расходов, производимых за счет </w:t>
      </w:r>
      <w:r w:rsidRPr="00B31603">
        <w:rPr>
          <w:rFonts w:ascii="Times New Roman" w:hAnsi="Times New Roman"/>
          <w:sz w:val="24"/>
          <w:szCs w:val="24"/>
        </w:rPr>
        <w:t>межбюджетных трансфертов</w:t>
      </w:r>
      <w:r>
        <w:rPr>
          <w:rFonts w:ascii="Times New Roman" w:hAnsi="Times New Roman"/>
          <w:sz w:val="24"/>
          <w:szCs w:val="24"/>
        </w:rPr>
        <w:t xml:space="preserve">, предоставляемых бюджету области </w:t>
      </w:r>
      <w:r w:rsidRPr="00B31603">
        <w:rPr>
          <w:rFonts w:ascii="Times New Roman" w:hAnsi="Times New Roman"/>
          <w:sz w:val="24"/>
          <w:szCs w:val="24"/>
        </w:rPr>
        <w:t>из федерального бюджета</w:t>
      </w:r>
      <w:r>
        <w:rPr>
          <w:rFonts w:ascii="Times New Roman" w:hAnsi="Times New Roman"/>
          <w:sz w:val="24"/>
          <w:szCs w:val="24"/>
        </w:rPr>
        <w:t>,</w:t>
      </w:r>
      <w:r w:rsidRPr="00B31603">
        <w:rPr>
          <w:rFonts w:ascii="Times New Roman" w:hAnsi="Times New Roman"/>
          <w:sz w:val="24"/>
          <w:szCs w:val="24"/>
        </w:rPr>
        <w:t xml:space="preserve"> привело к снижению уровня объема расходов </w:t>
      </w:r>
      <w:r>
        <w:rPr>
          <w:rFonts w:ascii="Times New Roman" w:hAnsi="Times New Roman"/>
          <w:sz w:val="24"/>
          <w:szCs w:val="24"/>
        </w:rPr>
        <w:t xml:space="preserve">очередного года и </w:t>
      </w:r>
      <w:r w:rsidRPr="00B31603">
        <w:rPr>
          <w:rFonts w:ascii="Times New Roman" w:hAnsi="Times New Roman"/>
          <w:sz w:val="24"/>
          <w:szCs w:val="24"/>
        </w:rPr>
        <w:t>планового периода к текущему году.</w:t>
      </w:r>
    </w:p>
    <w:p w:rsidR="00083EE0" w:rsidRDefault="00083EE0" w:rsidP="004C2E5E">
      <w:pPr>
        <w:tabs>
          <w:tab w:val="left" w:pos="9656"/>
        </w:tabs>
        <w:spacing w:after="0" w:line="240" w:lineRule="auto"/>
        <w:ind w:firstLine="680"/>
        <w:jc w:val="both"/>
        <w:rPr>
          <w:rFonts w:ascii="Times New Roman" w:hAnsi="Times New Roman"/>
          <w:sz w:val="24"/>
          <w:szCs w:val="24"/>
        </w:rPr>
      </w:pPr>
    </w:p>
    <w:p w:rsidR="004C2E5E" w:rsidRPr="00CA4226" w:rsidRDefault="004C2E5E" w:rsidP="004C2E5E">
      <w:pPr>
        <w:tabs>
          <w:tab w:val="left" w:pos="9656"/>
        </w:tabs>
        <w:spacing w:after="0" w:line="240" w:lineRule="auto"/>
        <w:ind w:firstLine="680"/>
        <w:jc w:val="both"/>
        <w:rPr>
          <w:rFonts w:ascii="Times New Roman" w:hAnsi="Times New Roman"/>
          <w:sz w:val="24"/>
          <w:szCs w:val="24"/>
        </w:rPr>
      </w:pPr>
      <w:r w:rsidRPr="00CA4226">
        <w:rPr>
          <w:rFonts w:ascii="Times New Roman" w:hAnsi="Times New Roman"/>
          <w:sz w:val="24"/>
          <w:szCs w:val="24"/>
        </w:rPr>
        <w:t>Расходная часть областного бюджета сформирована с учетом:</w:t>
      </w:r>
    </w:p>
    <w:p w:rsidR="004C2E5E" w:rsidRPr="00CA4226" w:rsidRDefault="004C2E5E" w:rsidP="00DA5F4F">
      <w:pPr>
        <w:pStyle w:val="ad"/>
        <w:numPr>
          <w:ilvl w:val="0"/>
          <w:numId w:val="7"/>
        </w:numPr>
        <w:tabs>
          <w:tab w:val="left" w:pos="1134"/>
          <w:tab w:val="left" w:pos="9656"/>
        </w:tabs>
        <w:spacing w:after="0" w:line="240" w:lineRule="auto"/>
        <w:ind w:left="0" w:firstLine="709"/>
        <w:jc w:val="both"/>
        <w:rPr>
          <w:rFonts w:ascii="Times New Roman" w:hAnsi="Times New Roman"/>
          <w:sz w:val="24"/>
          <w:szCs w:val="24"/>
        </w:rPr>
      </w:pPr>
      <w:r w:rsidRPr="00CA4226">
        <w:rPr>
          <w:rFonts w:ascii="Times New Roman" w:hAnsi="Times New Roman"/>
          <w:sz w:val="24"/>
          <w:szCs w:val="24"/>
        </w:rPr>
        <w:t xml:space="preserve">дотации на выравнивание бюджетной обеспеченности из федерального бюджета на 2015 год в сумме 2325970,1 тыс. рублей, на 2016 год в сумме 1508236 тыс. рублей, </w:t>
      </w:r>
      <w:r>
        <w:rPr>
          <w:rFonts w:ascii="Times New Roman" w:hAnsi="Times New Roman"/>
          <w:sz w:val="24"/>
          <w:szCs w:val="24"/>
        </w:rPr>
        <w:br/>
      </w:r>
      <w:r w:rsidRPr="00CA4226">
        <w:rPr>
          <w:rFonts w:ascii="Times New Roman" w:hAnsi="Times New Roman"/>
          <w:sz w:val="24"/>
          <w:szCs w:val="24"/>
        </w:rPr>
        <w:t>на 2017 год в сумме 1122409,6 тыс. рублей;</w:t>
      </w:r>
    </w:p>
    <w:p w:rsidR="004C2E5E" w:rsidRPr="00CA4226" w:rsidRDefault="004C2E5E" w:rsidP="00DA5F4F">
      <w:pPr>
        <w:pStyle w:val="ad"/>
        <w:numPr>
          <w:ilvl w:val="0"/>
          <w:numId w:val="7"/>
        </w:numPr>
        <w:tabs>
          <w:tab w:val="left" w:pos="1134"/>
          <w:tab w:val="left" w:pos="9656"/>
        </w:tabs>
        <w:spacing w:after="0" w:line="240" w:lineRule="auto"/>
        <w:ind w:left="0" w:firstLine="709"/>
        <w:jc w:val="both"/>
        <w:rPr>
          <w:rFonts w:ascii="Times New Roman" w:hAnsi="Times New Roman"/>
          <w:sz w:val="24"/>
          <w:szCs w:val="24"/>
        </w:rPr>
      </w:pPr>
      <w:r w:rsidRPr="00CA4226">
        <w:rPr>
          <w:rFonts w:ascii="Times New Roman" w:hAnsi="Times New Roman"/>
          <w:sz w:val="24"/>
          <w:szCs w:val="24"/>
        </w:rPr>
        <w:t>дотации на поддержку мер по обеспечению сбалансированности бюджетов на 2015 год в сумме 559555,3 тыс. рублей;</w:t>
      </w:r>
    </w:p>
    <w:p w:rsidR="004C2E5E" w:rsidRPr="00CA4226" w:rsidRDefault="004C2E5E" w:rsidP="00DA5F4F">
      <w:pPr>
        <w:pStyle w:val="ad"/>
        <w:numPr>
          <w:ilvl w:val="0"/>
          <w:numId w:val="7"/>
        </w:numPr>
        <w:tabs>
          <w:tab w:val="left" w:pos="1134"/>
          <w:tab w:val="left" w:pos="9656"/>
        </w:tabs>
        <w:spacing w:after="0" w:line="240" w:lineRule="auto"/>
        <w:ind w:left="0" w:firstLine="709"/>
        <w:jc w:val="both"/>
        <w:rPr>
          <w:rFonts w:ascii="Times New Roman" w:hAnsi="Times New Roman"/>
          <w:sz w:val="24"/>
          <w:szCs w:val="24"/>
        </w:rPr>
      </w:pPr>
      <w:r w:rsidRPr="00CA4226">
        <w:rPr>
          <w:rFonts w:ascii="Times New Roman" w:hAnsi="Times New Roman"/>
          <w:sz w:val="24"/>
          <w:szCs w:val="24"/>
        </w:rPr>
        <w:t xml:space="preserve">дотации, связанной с особым режимом безопасности функционирования закрытых административно-территориальных образований на 2015 год, в сумме </w:t>
      </w:r>
      <w:r w:rsidRPr="00CA4226">
        <w:rPr>
          <w:rFonts w:ascii="Times New Roman" w:hAnsi="Times New Roman"/>
          <w:sz w:val="24"/>
          <w:szCs w:val="24"/>
        </w:rPr>
        <w:br/>
        <w:t xml:space="preserve">91969,0 тыс. рублей, на 2016 год в сумме 44693,0 тыс. рублей, на 2016 год в сумме </w:t>
      </w:r>
      <w:r w:rsidRPr="00CA4226">
        <w:rPr>
          <w:rFonts w:ascii="Times New Roman" w:hAnsi="Times New Roman"/>
          <w:sz w:val="24"/>
          <w:szCs w:val="24"/>
        </w:rPr>
        <w:br/>
        <w:t>75275,0 тыс. рублей.</w:t>
      </w:r>
    </w:p>
    <w:p w:rsidR="004C2E5E" w:rsidRDefault="004C2E5E" w:rsidP="004C2E5E">
      <w:pPr>
        <w:tabs>
          <w:tab w:val="left" w:pos="9656"/>
        </w:tabs>
        <w:spacing w:after="0" w:line="240" w:lineRule="auto"/>
        <w:ind w:firstLine="680"/>
        <w:jc w:val="both"/>
        <w:rPr>
          <w:rFonts w:ascii="Times New Roman" w:hAnsi="Times New Roman"/>
          <w:sz w:val="24"/>
          <w:szCs w:val="24"/>
        </w:rPr>
      </w:pPr>
      <w:r w:rsidRPr="009C5469">
        <w:rPr>
          <w:rFonts w:ascii="Times New Roman" w:hAnsi="Times New Roman"/>
          <w:sz w:val="24"/>
          <w:szCs w:val="24"/>
        </w:rPr>
        <w:t>В проекте областного бюджета на 2015 год и плановый период 2016 и 2017 годов не учтены межбюджетные трансферты</w:t>
      </w:r>
      <w:r>
        <w:rPr>
          <w:rFonts w:ascii="Times New Roman" w:hAnsi="Times New Roman"/>
          <w:sz w:val="24"/>
          <w:szCs w:val="24"/>
        </w:rPr>
        <w:t xml:space="preserve"> </w:t>
      </w:r>
      <w:r w:rsidR="00A231CD">
        <w:rPr>
          <w:rFonts w:ascii="Times New Roman" w:hAnsi="Times New Roman"/>
          <w:sz w:val="24"/>
          <w:szCs w:val="24"/>
        </w:rPr>
        <w:t xml:space="preserve">областному </w:t>
      </w:r>
      <w:r w:rsidRPr="00A231CD">
        <w:rPr>
          <w:rFonts w:ascii="Times New Roman" w:hAnsi="Times New Roman"/>
          <w:sz w:val="24"/>
          <w:szCs w:val="24"/>
        </w:rPr>
        <w:t>бюджету,</w:t>
      </w:r>
      <w:r w:rsidRPr="009C5469">
        <w:rPr>
          <w:rFonts w:ascii="Times New Roman" w:hAnsi="Times New Roman"/>
          <w:sz w:val="24"/>
          <w:szCs w:val="24"/>
        </w:rPr>
        <w:t xml:space="preserve"> </w:t>
      </w:r>
      <w:r>
        <w:rPr>
          <w:rFonts w:ascii="Times New Roman" w:hAnsi="Times New Roman"/>
          <w:sz w:val="24"/>
          <w:szCs w:val="24"/>
        </w:rPr>
        <w:t xml:space="preserve">распределение которых представлено в Государственную Думу одновременно с проектом федерального закона </w:t>
      </w:r>
      <w:r>
        <w:rPr>
          <w:rFonts w:ascii="Times New Roman" w:hAnsi="Times New Roman"/>
          <w:sz w:val="24"/>
          <w:szCs w:val="24"/>
        </w:rPr>
        <w:br/>
        <w:t>«</w:t>
      </w:r>
      <w:r w:rsidRPr="001B1981">
        <w:rPr>
          <w:rFonts w:ascii="Times New Roman" w:hAnsi="Times New Roman"/>
          <w:sz w:val="24"/>
          <w:szCs w:val="24"/>
        </w:rPr>
        <w:t>О федеральном бюджете на 2015 год и на плановый период 2016 и 2017 годов</w:t>
      </w:r>
      <w:r>
        <w:rPr>
          <w:rFonts w:ascii="Times New Roman" w:hAnsi="Times New Roman"/>
          <w:sz w:val="24"/>
          <w:szCs w:val="24"/>
        </w:rPr>
        <w:t xml:space="preserve">», </w:t>
      </w:r>
      <w:r w:rsidRPr="009C5469">
        <w:rPr>
          <w:rFonts w:ascii="Times New Roman" w:hAnsi="Times New Roman"/>
          <w:sz w:val="24"/>
          <w:szCs w:val="24"/>
        </w:rPr>
        <w:t xml:space="preserve">в сумме </w:t>
      </w:r>
      <w:r w:rsidRPr="001B1981">
        <w:rPr>
          <w:rFonts w:ascii="Times New Roman" w:hAnsi="Times New Roman"/>
          <w:sz w:val="24"/>
          <w:szCs w:val="24"/>
        </w:rPr>
        <w:t>4179278,4 тыс. рублей.</w:t>
      </w:r>
    </w:p>
    <w:p w:rsidR="004C2E5E" w:rsidRPr="000D4007" w:rsidRDefault="004C2E5E" w:rsidP="004C2E5E">
      <w:pPr>
        <w:tabs>
          <w:tab w:val="left" w:pos="9656"/>
        </w:tabs>
        <w:spacing w:after="0" w:line="240" w:lineRule="auto"/>
        <w:ind w:firstLine="680"/>
        <w:jc w:val="both"/>
        <w:rPr>
          <w:rFonts w:ascii="Times New Roman" w:hAnsi="Times New Roman"/>
          <w:sz w:val="24"/>
          <w:szCs w:val="24"/>
        </w:rPr>
      </w:pPr>
      <w:r w:rsidRPr="000D4007">
        <w:rPr>
          <w:rFonts w:ascii="Times New Roman" w:hAnsi="Times New Roman"/>
          <w:sz w:val="24"/>
          <w:szCs w:val="24"/>
        </w:rPr>
        <w:t>Данные средства предусмотрены в форме:</w:t>
      </w:r>
    </w:p>
    <w:p w:rsidR="004C2E5E" w:rsidRPr="00D42ED7" w:rsidRDefault="004C2E5E" w:rsidP="00D42ED7">
      <w:pPr>
        <w:pStyle w:val="ad"/>
        <w:numPr>
          <w:ilvl w:val="0"/>
          <w:numId w:val="29"/>
        </w:numPr>
        <w:tabs>
          <w:tab w:val="left" w:pos="993"/>
          <w:tab w:val="left" w:pos="9656"/>
        </w:tabs>
        <w:spacing w:after="0" w:line="240" w:lineRule="auto"/>
        <w:ind w:left="0" w:firstLine="709"/>
        <w:jc w:val="both"/>
        <w:rPr>
          <w:rFonts w:ascii="Times New Roman" w:hAnsi="Times New Roman"/>
          <w:sz w:val="24"/>
          <w:szCs w:val="24"/>
        </w:rPr>
      </w:pPr>
      <w:r w:rsidRPr="00D42ED7">
        <w:rPr>
          <w:rFonts w:ascii="Times New Roman" w:hAnsi="Times New Roman"/>
          <w:sz w:val="24"/>
          <w:szCs w:val="24"/>
        </w:rPr>
        <w:t>субсидий в сумме 377291,4 тыс. рублей;</w:t>
      </w:r>
    </w:p>
    <w:p w:rsidR="004C2E5E" w:rsidRPr="00D42ED7" w:rsidRDefault="004C2E5E" w:rsidP="00D42ED7">
      <w:pPr>
        <w:pStyle w:val="ad"/>
        <w:numPr>
          <w:ilvl w:val="0"/>
          <w:numId w:val="29"/>
        </w:numPr>
        <w:tabs>
          <w:tab w:val="left" w:pos="993"/>
          <w:tab w:val="left" w:pos="9656"/>
        </w:tabs>
        <w:spacing w:after="0" w:line="240" w:lineRule="auto"/>
        <w:ind w:left="0" w:firstLine="709"/>
        <w:jc w:val="both"/>
        <w:rPr>
          <w:rFonts w:ascii="Times New Roman" w:hAnsi="Times New Roman"/>
          <w:sz w:val="24"/>
          <w:szCs w:val="24"/>
        </w:rPr>
      </w:pPr>
      <w:r w:rsidRPr="00D42ED7">
        <w:rPr>
          <w:rFonts w:ascii="Times New Roman" w:hAnsi="Times New Roman"/>
          <w:sz w:val="24"/>
          <w:szCs w:val="24"/>
        </w:rPr>
        <w:t>иных межбюджетных трансфертов в сумме 669524,2 тыс. рублей;</w:t>
      </w:r>
    </w:p>
    <w:p w:rsidR="004C2E5E" w:rsidRPr="00D42ED7" w:rsidRDefault="004C2E5E" w:rsidP="00D42ED7">
      <w:pPr>
        <w:pStyle w:val="ad"/>
        <w:numPr>
          <w:ilvl w:val="0"/>
          <w:numId w:val="29"/>
        </w:numPr>
        <w:tabs>
          <w:tab w:val="left" w:pos="993"/>
          <w:tab w:val="left" w:pos="9656"/>
        </w:tabs>
        <w:spacing w:after="0" w:line="240" w:lineRule="auto"/>
        <w:ind w:left="0" w:firstLine="709"/>
        <w:jc w:val="both"/>
        <w:rPr>
          <w:rFonts w:ascii="Times New Roman" w:hAnsi="Times New Roman"/>
          <w:sz w:val="24"/>
          <w:szCs w:val="24"/>
        </w:rPr>
      </w:pPr>
      <w:r w:rsidRPr="00D42ED7">
        <w:rPr>
          <w:rFonts w:ascii="Times New Roman" w:hAnsi="Times New Roman"/>
          <w:sz w:val="24"/>
          <w:szCs w:val="24"/>
        </w:rPr>
        <w:t>дотаций на частичную компенсацию дополнительных расходов на оплату труда работников бюджетной сферы в сумме 559555,3 тыс. рублей;</w:t>
      </w:r>
    </w:p>
    <w:p w:rsidR="004C2E5E" w:rsidRPr="00D42ED7" w:rsidRDefault="004C2E5E" w:rsidP="00D42ED7">
      <w:pPr>
        <w:pStyle w:val="ad"/>
        <w:numPr>
          <w:ilvl w:val="0"/>
          <w:numId w:val="29"/>
        </w:numPr>
        <w:tabs>
          <w:tab w:val="left" w:pos="993"/>
          <w:tab w:val="left" w:pos="9656"/>
        </w:tabs>
        <w:spacing w:after="0" w:line="240" w:lineRule="auto"/>
        <w:ind w:left="0" w:firstLine="709"/>
        <w:jc w:val="both"/>
        <w:rPr>
          <w:rFonts w:ascii="Times New Roman" w:hAnsi="Times New Roman"/>
          <w:sz w:val="24"/>
          <w:szCs w:val="24"/>
        </w:rPr>
      </w:pPr>
      <w:r w:rsidRPr="00D42ED7">
        <w:rPr>
          <w:rFonts w:ascii="Times New Roman" w:hAnsi="Times New Roman"/>
          <w:sz w:val="24"/>
          <w:szCs w:val="24"/>
        </w:rPr>
        <w:t>субвенций в сумме 2572907,5 тыс. рублей, в том числе в проекте областного бюджета не учтены расходы за счет единой субвенции, предусмотренной бюджету Амурской области из федерального бюджета, в сумме 104818,6 тыс. рублей, на осуществление переданных органам государственной власти субъектов Российской Федерации полномочий:</w:t>
      </w:r>
    </w:p>
    <w:p w:rsidR="004C2E5E" w:rsidRPr="009C546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9C5469">
        <w:rPr>
          <w:rFonts w:ascii="Times New Roman" w:hAnsi="Times New Roman"/>
          <w:sz w:val="24"/>
          <w:szCs w:val="24"/>
        </w:rPr>
        <w:t>в области организации, регулирования и охраны водных биологических ресурсов в сумме 605,1 тыс. рублей;</w:t>
      </w:r>
    </w:p>
    <w:p w:rsidR="004C2E5E" w:rsidRPr="009C546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9C5469">
        <w:rPr>
          <w:rFonts w:ascii="Times New Roman" w:hAnsi="Times New Roman"/>
          <w:sz w:val="24"/>
          <w:szCs w:val="24"/>
        </w:rPr>
        <w:t>в области охраны и использования объектов животного мира (за исключением охотничьих ресурсов и водных биологических ресурсов) в сумме 248,5 тыс. рублей;</w:t>
      </w:r>
    </w:p>
    <w:p w:rsidR="004C2E5E" w:rsidRPr="009C546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9C5469">
        <w:rPr>
          <w:rFonts w:ascii="Times New Roman" w:hAnsi="Times New Roman"/>
          <w:sz w:val="24"/>
          <w:szCs w:val="24"/>
        </w:rPr>
        <w:t xml:space="preserve">на государственную регистрацию актов гражданского состояния в </w:t>
      </w:r>
      <w:r>
        <w:rPr>
          <w:rFonts w:ascii="Times New Roman" w:hAnsi="Times New Roman"/>
          <w:sz w:val="24"/>
          <w:szCs w:val="24"/>
        </w:rPr>
        <w:br/>
      </w:r>
      <w:r w:rsidRPr="009C5469">
        <w:rPr>
          <w:rFonts w:ascii="Times New Roman" w:hAnsi="Times New Roman"/>
          <w:sz w:val="24"/>
          <w:szCs w:val="24"/>
        </w:rPr>
        <w:t>сумме 69101,7 тыс. рублей;</w:t>
      </w:r>
    </w:p>
    <w:p w:rsidR="004C2E5E" w:rsidRPr="009C546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9C5469">
        <w:rPr>
          <w:rFonts w:ascii="Times New Roman" w:hAnsi="Times New Roman"/>
          <w:sz w:val="24"/>
          <w:szCs w:val="24"/>
        </w:rPr>
        <w:t>по осуществлению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в сумме 322,1 тыс. рублей;</w:t>
      </w:r>
    </w:p>
    <w:p w:rsidR="004C2E5E" w:rsidRPr="009C546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9C5469">
        <w:rPr>
          <w:rFonts w:ascii="Times New Roman" w:hAnsi="Times New Roman"/>
          <w:sz w:val="24"/>
          <w:szCs w:val="24"/>
        </w:rPr>
        <w:t>в отношении объектов культурного наследия в сумме 848,4 тыс. рублей;</w:t>
      </w:r>
    </w:p>
    <w:p w:rsidR="004C2E5E" w:rsidRPr="009C546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9C5469">
        <w:rPr>
          <w:rFonts w:ascii="Times New Roman" w:hAnsi="Times New Roman"/>
          <w:sz w:val="24"/>
          <w:szCs w:val="24"/>
        </w:rPr>
        <w:t>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в сумме 22869,7 тыс. рублей;</w:t>
      </w:r>
    </w:p>
    <w:p w:rsidR="004C2E5E" w:rsidRPr="0004119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041199">
        <w:rPr>
          <w:rFonts w:ascii="Times New Roman" w:hAnsi="Times New Roman"/>
          <w:sz w:val="24"/>
          <w:szCs w:val="24"/>
        </w:rPr>
        <w:t>в области охраны и использования охотничьих ресурсов (за исключением полномочий Российской Федерации по контролю, надзору, выдаче разрешений на добычу охотничьих ресурсов и заключению охотхозяйственных соглашений) в сумме 281,0 тыс. рублей;</w:t>
      </w:r>
    </w:p>
    <w:p w:rsidR="004C2E5E" w:rsidRPr="00041199"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041199">
        <w:rPr>
          <w:rFonts w:ascii="Times New Roman" w:hAnsi="Times New Roman"/>
          <w:sz w:val="24"/>
          <w:szCs w:val="24"/>
        </w:rPr>
        <w:t>в сфере охраны здоровья в сумме 2787,9 тыс. рублей;</w:t>
      </w:r>
    </w:p>
    <w:p w:rsidR="004C2E5E" w:rsidRDefault="004C2E5E" w:rsidP="00D42ED7">
      <w:pPr>
        <w:pStyle w:val="ad"/>
        <w:numPr>
          <w:ilvl w:val="0"/>
          <w:numId w:val="8"/>
        </w:numPr>
        <w:tabs>
          <w:tab w:val="left" w:pos="993"/>
          <w:tab w:val="left" w:pos="1276"/>
          <w:tab w:val="left" w:pos="9656"/>
        </w:tabs>
        <w:spacing w:after="0" w:line="240" w:lineRule="auto"/>
        <w:ind w:left="0" w:firstLine="851"/>
        <w:jc w:val="both"/>
        <w:rPr>
          <w:rFonts w:ascii="Times New Roman" w:hAnsi="Times New Roman"/>
          <w:sz w:val="24"/>
          <w:szCs w:val="24"/>
        </w:rPr>
      </w:pPr>
      <w:r w:rsidRPr="00041199">
        <w:rPr>
          <w:rFonts w:ascii="Times New Roman" w:hAnsi="Times New Roman"/>
          <w:sz w:val="24"/>
          <w:szCs w:val="24"/>
        </w:rPr>
        <w:t>в сфере образования в сумме 7754,2 тыс. рублей.</w:t>
      </w:r>
    </w:p>
    <w:p w:rsidR="004C2E5E" w:rsidRDefault="004C2E5E" w:rsidP="004C2E5E">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2F564E">
        <w:rPr>
          <w:rFonts w:ascii="Times New Roman" w:hAnsi="Times New Roman"/>
          <w:sz w:val="24"/>
          <w:szCs w:val="24"/>
          <w:lang w:eastAsia="en-US"/>
        </w:rPr>
        <w:t>Проект закона Амурской облас</w:t>
      </w:r>
      <w:r>
        <w:rPr>
          <w:rFonts w:ascii="Times New Roman" w:hAnsi="Times New Roman"/>
          <w:sz w:val="24"/>
          <w:szCs w:val="24"/>
          <w:lang w:eastAsia="en-US"/>
        </w:rPr>
        <w:t>ти «Об областном бюджете на 2015 год и плановый период 2016</w:t>
      </w:r>
      <w:r w:rsidRPr="002F564E">
        <w:rPr>
          <w:rFonts w:ascii="Times New Roman" w:hAnsi="Times New Roman"/>
          <w:sz w:val="24"/>
          <w:szCs w:val="24"/>
          <w:lang w:eastAsia="en-US"/>
        </w:rPr>
        <w:t xml:space="preserve"> и 201</w:t>
      </w:r>
      <w:r>
        <w:rPr>
          <w:rFonts w:ascii="Times New Roman" w:hAnsi="Times New Roman"/>
          <w:sz w:val="24"/>
          <w:szCs w:val="24"/>
          <w:lang w:eastAsia="en-US"/>
        </w:rPr>
        <w:t>7</w:t>
      </w:r>
      <w:r w:rsidRPr="002F564E">
        <w:rPr>
          <w:rFonts w:ascii="Times New Roman" w:hAnsi="Times New Roman"/>
          <w:sz w:val="24"/>
          <w:szCs w:val="24"/>
          <w:lang w:eastAsia="en-US"/>
        </w:rPr>
        <w:t xml:space="preserve"> годов» </w:t>
      </w:r>
      <w:r w:rsidRPr="00B95724">
        <w:rPr>
          <w:rFonts w:ascii="Times New Roman" w:hAnsi="Times New Roman"/>
          <w:sz w:val="24"/>
          <w:szCs w:val="24"/>
          <w:lang w:eastAsia="en-US"/>
        </w:rPr>
        <w:t>сформирован</w:t>
      </w:r>
      <w:r w:rsidRPr="002F564E">
        <w:rPr>
          <w:rFonts w:ascii="Times New Roman" w:hAnsi="Times New Roman"/>
          <w:sz w:val="24"/>
          <w:szCs w:val="24"/>
          <w:lang w:eastAsia="en-US"/>
        </w:rPr>
        <w:t xml:space="preserve"> в программной структуре расходов по </w:t>
      </w:r>
      <w:r>
        <w:rPr>
          <w:rFonts w:ascii="Times New Roman" w:hAnsi="Times New Roman"/>
          <w:sz w:val="24"/>
          <w:szCs w:val="24"/>
          <w:lang w:eastAsia="en-US"/>
        </w:rPr>
        <w:br/>
      </w:r>
      <w:r w:rsidRPr="002F564E">
        <w:rPr>
          <w:rFonts w:ascii="Times New Roman" w:hAnsi="Times New Roman"/>
          <w:sz w:val="24"/>
          <w:szCs w:val="24"/>
          <w:lang w:eastAsia="en-US"/>
        </w:rPr>
        <w:t>13 утвержде</w:t>
      </w:r>
      <w:r>
        <w:rPr>
          <w:rFonts w:ascii="Times New Roman" w:hAnsi="Times New Roman"/>
          <w:sz w:val="24"/>
          <w:szCs w:val="24"/>
          <w:lang w:eastAsia="en-US"/>
        </w:rPr>
        <w:t xml:space="preserve">нным государственным программам. </w:t>
      </w:r>
      <w:r w:rsidRPr="002F564E">
        <w:rPr>
          <w:rFonts w:ascii="Times New Roman" w:hAnsi="Times New Roman"/>
          <w:sz w:val="24"/>
          <w:szCs w:val="24"/>
          <w:lang w:eastAsia="en-US"/>
        </w:rPr>
        <w:t xml:space="preserve">Согласно законопроекту расходы на </w:t>
      </w:r>
      <w:r w:rsidRPr="002F564E">
        <w:rPr>
          <w:rFonts w:ascii="Times New Roman" w:hAnsi="Times New Roman"/>
          <w:sz w:val="24"/>
          <w:szCs w:val="24"/>
          <w:lang w:eastAsia="en-US"/>
        </w:rPr>
        <w:lastRenderedPageBreak/>
        <w:t xml:space="preserve">реализацию </w:t>
      </w:r>
      <w:r>
        <w:rPr>
          <w:rFonts w:ascii="Times New Roman" w:hAnsi="Times New Roman"/>
          <w:sz w:val="24"/>
          <w:szCs w:val="24"/>
          <w:lang w:eastAsia="en-US"/>
        </w:rPr>
        <w:t>государственных программ на 2015 год составляют – 35243292,7</w:t>
      </w:r>
      <w:r w:rsidRPr="002F564E">
        <w:rPr>
          <w:rFonts w:ascii="Times New Roman" w:hAnsi="Times New Roman"/>
          <w:sz w:val="24"/>
          <w:szCs w:val="24"/>
          <w:lang w:eastAsia="en-US"/>
        </w:rPr>
        <w:t xml:space="preserve"> тыс. рублей, или 98,</w:t>
      </w:r>
      <w:r>
        <w:rPr>
          <w:rFonts w:ascii="Times New Roman" w:hAnsi="Times New Roman"/>
          <w:sz w:val="24"/>
          <w:szCs w:val="24"/>
          <w:lang w:eastAsia="en-US"/>
        </w:rPr>
        <w:t>3</w:t>
      </w:r>
      <w:r w:rsidRPr="002F564E">
        <w:rPr>
          <w:rFonts w:ascii="Times New Roman" w:hAnsi="Times New Roman"/>
          <w:sz w:val="24"/>
          <w:szCs w:val="24"/>
          <w:lang w:eastAsia="en-US"/>
        </w:rPr>
        <w:t xml:space="preserve"> процента</w:t>
      </w:r>
      <w:r>
        <w:rPr>
          <w:rFonts w:ascii="Times New Roman" w:hAnsi="Times New Roman"/>
          <w:sz w:val="24"/>
          <w:szCs w:val="24"/>
          <w:lang w:eastAsia="en-US"/>
        </w:rPr>
        <w:t xml:space="preserve"> общих расходов бюджета, на 2016 год – 33623146,9</w:t>
      </w:r>
      <w:r w:rsidRPr="002F564E">
        <w:rPr>
          <w:rFonts w:ascii="Times New Roman" w:hAnsi="Times New Roman"/>
          <w:sz w:val="24"/>
          <w:szCs w:val="24"/>
          <w:lang w:eastAsia="en-US"/>
        </w:rPr>
        <w:t xml:space="preserve"> тыс. рублей </w:t>
      </w:r>
      <w:r>
        <w:rPr>
          <w:rFonts w:ascii="Times New Roman" w:hAnsi="Times New Roman"/>
          <w:sz w:val="24"/>
          <w:szCs w:val="24"/>
          <w:lang w:eastAsia="en-US"/>
        </w:rPr>
        <w:br/>
      </w:r>
      <w:r w:rsidRPr="002F564E">
        <w:rPr>
          <w:rFonts w:ascii="Times New Roman" w:hAnsi="Times New Roman"/>
          <w:sz w:val="24"/>
          <w:szCs w:val="24"/>
          <w:lang w:eastAsia="en-US"/>
        </w:rPr>
        <w:t xml:space="preserve">(98,3 процента расходов бюджета), </w:t>
      </w:r>
      <w:r>
        <w:rPr>
          <w:rFonts w:ascii="Times New Roman" w:hAnsi="Times New Roman"/>
          <w:sz w:val="24"/>
          <w:szCs w:val="24"/>
          <w:lang w:eastAsia="en-US"/>
        </w:rPr>
        <w:t>на 2017 год – 27157954,9</w:t>
      </w:r>
      <w:r w:rsidRPr="002F564E">
        <w:rPr>
          <w:rFonts w:ascii="Times New Roman" w:hAnsi="Times New Roman"/>
          <w:sz w:val="24"/>
          <w:szCs w:val="24"/>
          <w:lang w:eastAsia="en-US"/>
        </w:rPr>
        <w:t xml:space="preserve"> тыс. рублей</w:t>
      </w:r>
      <w:r>
        <w:rPr>
          <w:rFonts w:ascii="Times New Roman" w:hAnsi="Times New Roman"/>
          <w:sz w:val="24"/>
          <w:szCs w:val="24"/>
          <w:lang w:eastAsia="en-US"/>
        </w:rPr>
        <w:t xml:space="preserve"> (98,2</w:t>
      </w:r>
      <w:r w:rsidR="00D42ED7">
        <w:rPr>
          <w:rFonts w:ascii="Times New Roman" w:hAnsi="Times New Roman"/>
          <w:sz w:val="24"/>
          <w:szCs w:val="24"/>
          <w:lang w:eastAsia="en-US"/>
        </w:rPr>
        <w:t xml:space="preserve"> процента расходов бюджета).</w:t>
      </w:r>
    </w:p>
    <w:p w:rsidR="004C2E5E" w:rsidRPr="002F564E" w:rsidRDefault="004C2E5E" w:rsidP="004C2E5E">
      <w:pPr>
        <w:autoSpaceDE w:val="0"/>
        <w:autoSpaceDN w:val="0"/>
        <w:adjustRightInd w:val="0"/>
        <w:spacing w:after="0" w:line="240" w:lineRule="auto"/>
        <w:ind w:firstLine="709"/>
        <w:jc w:val="both"/>
        <w:outlineLvl w:val="0"/>
        <w:rPr>
          <w:rFonts w:ascii="Times New Roman" w:hAnsi="Times New Roman"/>
          <w:sz w:val="24"/>
          <w:szCs w:val="24"/>
        </w:rPr>
      </w:pPr>
      <w:r w:rsidRPr="002F564E">
        <w:rPr>
          <w:rFonts w:ascii="Times New Roman" w:hAnsi="Times New Roman"/>
          <w:sz w:val="24"/>
          <w:szCs w:val="24"/>
        </w:rPr>
        <w:t>Одновременно с законопроектом представлены</w:t>
      </w:r>
      <w:r>
        <w:rPr>
          <w:rFonts w:ascii="Times New Roman" w:hAnsi="Times New Roman"/>
          <w:sz w:val="24"/>
          <w:szCs w:val="24"/>
        </w:rPr>
        <w:t xml:space="preserve"> постановления Правительства области, утверждающие внесенные изменения в государственные программы на соответствующие финансовые годы.</w:t>
      </w:r>
    </w:p>
    <w:p w:rsidR="004C2E5E" w:rsidRDefault="004C2E5E" w:rsidP="004C2E5E">
      <w:pPr>
        <w:spacing w:after="0" w:line="240" w:lineRule="auto"/>
        <w:ind w:firstLine="709"/>
        <w:jc w:val="both"/>
        <w:rPr>
          <w:rFonts w:ascii="Times New Roman" w:hAnsi="Times New Roman"/>
          <w:sz w:val="24"/>
          <w:szCs w:val="20"/>
        </w:rPr>
      </w:pPr>
      <w:r w:rsidRPr="002F564E">
        <w:rPr>
          <w:rFonts w:ascii="Times New Roman" w:hAnsi="Times New Roman"/>
          <w:sz w:val="24"/>
          <w:szCs w:val="20"/>
        </w:rPr>
        <w:t>Программная структура рас</w:t>
      </w:r>
      <w:r>
        <w:rPr>
          <w:rFonts w:ascii="Times New Roman" w:hAnsi="Times New Roman"/>
          <w:sz w:val="24"/>
          <w:szCs w:val="20"/>
        </w:rPr>
        <w:t>ходов областного бюджета на 2015</w:t>
      </w:r>
      <w:r w:rsidRPr="002F564E">
        <w:rPr>
          <w:rFonts w:ascii="Times New Roman" w:hAnsi="Times New Roman"/>
          <w:sz w:val="24"/>
          <w:szCs w:val="20"/>
        </w:rPr>
        <w:t xml:space="preserve"> год приведена на </w:t>
      </w:r>
      <w:r w:rsidRPr="004C2E5E">
        <w:rPr>
          <w:rFonts w:ascii="Times New Roman" w:hAnsi="Times New Roman"/>
          <w:sz w:val="24"/>
          <w:szCs w:val="20"/>
        </w:rPr>
        <w:t>рисунке 15.</w:t>
      </w:r>
    </w:p>
    <w:p w:rsidR="004C2E5E" w:rsidRDefault="004C2E5E" w:rsidP="004C2E5E">
      <w:pPr>
        <w:spacing w:after="0" w:line="240" w:lineRule="auto"/>
        <w:ind w:firstLine="709"/>
        <w:jc w:val="both"/>
        <w:rPr>
          <w:rFonts w:ascii="Times New Roman" w:hAnsi="Times New Roman"/>
          <w:sz w:val="24"/>
          <w:szCs w:val="20"/>
        </w:rPr>
      </w:pPr>
    </w:p>
    <w:p w:rsidR="000E7090" w:rsidRDefault="000E7090" w:rsidP="004C2E5E">
      <w:pPr>
        <w:spacing w:after="0" w:line="240" w:lineRule="auto"/>
        <w:ind w:firstLine="709"/>
        <w:jc w:val="both"/>
        <w:rPr>
          <w:rFonts w:ascii="Times New Roman" w:hAnsi="Times New Roman"/>
          <w:sz w:val="24"/>
          <w:szCs w:val="20"/>
        </w:rPr>
      </w:pPr>
    </w:p>
    <w:p w:rsidR="004C2E5E" w:rsidRDefault="004C2E5E" w:rsidP="004C2E5E">
      <w:pPr>
        <w:spacing w:after="0" w:line="240" w:lineRule="auto"/>
        <w:jc w:val="both"/>
        <w:rPr>
          <w:rFonts w:ascii="Times New Roman" w:hAnsi="Times New Roman"/>
          <w:sz w:val="24"/>
          <w:szCs w:val="20"/>
        </w:rPr>
      </w:pPr>
      <w:r>
        <w:rPr>
          <w:noProof/>
        </w:rPr>
        <w:drawing>
          <wp:inline distT="0" distB="0" distL="0" distR="0" wp14:anchorId="03F2A0E1" wp14:editId="0E1290D6">
            <wp:extent cx="6219825" cy="42100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2E5E" w:rsidRPr="002F564E" w:rsidRDefault="004C2E5E" w:rsidP="004C2E5E">
      <w:pPr>
        <w:spacing w:after="0" w:line="240" w:lineRule="auto"/>
        <w:ind w:left="-567"/>
        <w:jc w:val="both"/>
        <w:rPr>
          <w:rFonts w:ascii="Times New Roman" w:hAnsi="Times New Roman"/>
          <w:color w:val="000000"/>
          <w:sz w:val="24"/>
          <w:szCs w:val="24"/>
        </w:rPr>
      </w:pPr>
    </w:p>
    <w:p w:rsidR="004C2E5E" w:rsidRPr="0082147F" w:rsidRDefault="004C2E5E" w:rsidP="004C2E5E">
      <w:pPr>
        <w:spacing w:after="0" w:line="360" w:lineRule="auto"/>
        <w:jc w:val="center"/>
        <w:rPr>
          <w:rFonts w:ascii="Times New Roman" w:hAnsi="Times New Roman"/>
          <w:b/>
          <w:sz w:val="24"/>
          <w:szCs w:val="24"/>
        </w:rPr>
      </w:pPr>
      <w:r w:rsidRPr="004C2E5E">
        <w:rPr>
          <w:rFonts w:ascii="Times New Roman" w:hAnsi="Times New Roman"/>
          <w:b/>
          <w:sz w:val="24"/>
          <w:szCs w:val="24"/>
        </w:rPr>
        <w:t>Рис. .15. -</w:t>
      </w:r>
      <w:r w:rsidRPr="0082147F">
        <w:rPr>
          <w:rFonts w:ascii="Times New Roman" w:hAnsi="Times New Roman"/>
          <w:b/>
          <w:sz w:val="24"/>
          <w:szCs w:val="24"/>
        </w:rPr>
        <w:t xml:space="preserve"> Программная структура расходов областного бюджета на 201</w:t>
      </w:r>
      <w:r>
        <w:rPr>
          <w:rFonts w:ascii="Times New Roman" w:hAnsi="Times New Roman"/>
          <w:b/>
          <w:sz w:val="24"/>
          <w:szCs w:val="24"/>
        </w:rPr>
        <w:t>5</w:t>
      </w:r>
      <w:r w:rsidRPr="0082147F">
        <w:rPr>
          <w:rFonts w:ascii="Times New Roman" w:hAnsi="Times New Roman"/>
          <w:b/>
          <w:sz w:val="24"/>
          <w:szCs w:val="24"/>
        </w:rPr>
        <w:t xml:space="preserve"> год</w:t>
      </w:r>
    </w:p>
    <w:p w:rsidR="004C2E5E" w:rsidRDefault="004C2E5E" w:rsidP="004C2E5E">
      <w:pPr>
        <w:spacing w:after="0" w:line="240" w:lineRule="auto"/>
        <w:ind w:firstLine="540"/>
        <w:jc w:val="both"/>
        <w:rPr>
          <w:rFonts w:ascii="Times New Roman" w:hAnsi="Times New Roman"/>
          <w:sz w:val="24"/>
          <w:szCs w:val="20"/>
        </w:rPr>
      </w:pPr>
    </w:p>
    <w:p w:rsidR="000E7090" w:rsidRPr="00B95724" w:rsidRDefault="000E7090" w:rsidP="004C2E5E">
      <w:pPr>
        <w:spacing w:after="0" w:line="240" w:lineRule="auto"/>
        <w:ind w:firstLine="540"/>
        <w:jc w:val="both"/>
        <w:rPr>
          <w:rFonts w:ascii="Times New Roman" w:hAnsi="Times New Roman"/>
          <w:sz w:val="24"/>
          <w:szCs w:val="20"/>
        </w:rPr>
      </w:pPr>
    </w:p>
    <w:p w:rsidR="004C2E5E" w:rsidRPr="002F564E" w:rsidRDefault="004C2E5E" w:rsidP="004C2E5E">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Н</w:t>
      </w:r>
      <w:r w:rsidRPr="002F564E">
        <w:rPr>
          <w:rFonts w:ascii="Times New Roman" w:hAnsi="Times New Roman"/>
          <w:bCs/>
          <w:iCs/>
          <w:sz w:val="24"/>
          <w:szCs w:val="24"/>
        </w:rPr>
        <w:t xml:space="preserve">аибольший удельный вес в общей структуре программных </w:t>
      </w:r>
      <w:r>
        <w:rPr>
          <w:rFonts w:ascii="Times New Roman" w:hAnsi="Times New Roman"/>
          <w:bCs/>
          <w:iCs/>
          <w:sz w:val="24"/>
          <w:szCs w:val="24"/>
        </w:rPr>
        <w:t>расходов областного бюджета 2015 года (24,0</w:t>
      </w:r>
      <w:r w:rsidRPr="002F564E">
        <w:rPr>
          <w:rFonts w:ascii="Times New Roman" w:hAnsi="Times New Roman"/>
          <w:bCs/>
          <w:iCs/>
          <w:sz w:val="24"/>
          <w:szCs w:val="24"/>
        </w:rPr>
        <w:t xml:space="preserve"> процента) занимают расходы на реализацию государственной программы «Развитие образования Амурской области на 2014-2020 годы». Объем финансирования данной государственной программы за счет средств областного бюдж</w:t>
      </w:r>
      <w:r>
        <w:rPr>
          <w:rFonts w:ascii="Times New Roman" w:hAnsi="Times New Roman"/>
          <w:bCs/>
          <w:iCs/>
          <w:sz w:val="24"/>
          <w:szCs w:val="24"/>
        </w:rPr>
        <w:t xml:space="preserve">ета в 2015 году составляет 8462260,3 тыс. рублей. </w:t>
      </w:r>
      <w:r w:rsidRPr="002F564E">
        <w:rPr>
          <w:rFonts w:ascii="Times New Roman" w:hAnsi="Times New Roman"/>
          <w:bCs/>
          <w:iCs/>
          <w:sz w:val="24"/>
          <w:szCs w:val="24"/>
        </w:rPr>
        <w:t>В состав государственной программы входят пять подпрограмм</w:t>
      </w:r>
      <w:r>
        <w:rPr>
          <w:rFonts w:ascii="Times New Roman" w:hAnsi="Times New Roman"/>
          <w:bCs/>
          <w:iCs/>
          <w:sz w:val="24"/>
          <w:szCs w:val="24"/>
        </w:rPr>
        <w:t>, наибольшая доля расходов (80,7</w:t>
      </w:r>
      <w:r w:rsidRPr="002F564E">
        <w:rPr>
          <w:rFonts w:ascii="Times New Roman" w:hAnsi="Times New Roman"/>
          <w:bCs/>
          <w:iCs/>
          <w:sz w:val="24"/>
          <w:szCs w:val="24"/>
        </w:rPr>
        <w:t xml:space="preserve"> процента) приходится на подпрограмму «Развитие дошкольного, общего и доп</w:t>
      </w:r>
      <w:r>
        <w:rPr>
          <w:rFonts w:ascii="Times New Roman" w:hAnsi="Times New Roman"/>
          <w:bCs/>
          <w:iCs/>
          <w:sz w:val="24"/>
          <w:szCs w:val="24"/>
        </w:rPr>
        <w:t>о</w:t>
      </w:r>
      <w:r w:rsidR="00D42ED7">
        <w:rPr>
          <w:rFonts w:ascii="Times New Roman" w:hAnsi="Times New Roman"/>
          <w:bCs/>
          <w:iCs/>
          <w:sz w:val="24"/>
          <w:szCs w:val="24"/>
        </w:rPr>
        <w:t>лнительного образования детей».</w:t>
      </w:r>
    </w:p>
    <w:p w:rsidR="004C2E5E" w:rsidRDefault="004C2E5E" w:rsidP="004C2E5E">
      <w:pPr>
        <w:autoSpaceDE w:val="0"/>
        <w:autoSpaceDN w:val="0"/>
        <w:adjustRightInd w:val="0"/>
        <w:spacing w:after="0" w:line="240" w:lineRule="auto"/>
        <w:ind w:firstLine="709"/>
        <w:jc w:val="both"/>
        <w:rPr>
          <w:rFonts w:ascii="Times New Roman" w:eastAsiaTheme="minorHAnsi" w:hAnsi="Times New Roman"/>
          <w:b/>
          <w:bCs/>
          <w:sz w:val="24"/>
          <w:szCs w:val="24"/>
          <w:lang w:eastAsia="en-US"/>
        </w:rPr>
      </w:pPr>
      <w:r w:rsidRPr="002F564E">
        <w:rPr>
          <w:rFonts w:ascii="Times New Roman" w:hAnsi="Times New Roman"/>
          <w:bCs/>
          <w:iCs/>
          <w:sz w:val="24"/>
          <w:szCs w:val="24"/>
        </w:rPr>
        <w:t>Удельный вес расходов областного бюджета 201</w:t>
      </w:r>
      <w:r>
        <w:rPr>
          <w:rFonts w:ascii="Times New Roman" w:hAnsi="Times New Roman"/>
          <w:bCs/>
          <w:iCs/>
          <w:sz w:val="24"/>
          <w:szCs w:val="24"/>
        </w:rPr>
        <w:t>5</w:t>
      </w:r>
      <w:r w:rsidRPr="002F564E">
        <w:rPr>
          <w:rFonts w:ascii="Times New Roman" w:hAnsi="Times New Roman"/>
          <w:bCs/>
          <w:iCs/>
          <w:sz w:val="24"/>
          <w:szCs w:val="24"/>
        </w:rPr>
        <w:t xml:space="preserve"> года на реализацию государственной программы «Развитие здравоохранения Амурской области на </w:t>
      </w:r>
      <w:r>
        <w:rPr>
          <w:rFonts w:ascii="Times New Roman" w:hAnsi="Times New Roman"/>
          <w:bCs/>
          <w:iCs/>
          <w:sz w:val="24"/>
          <w:szCs w:val="24"/>
        </w:rPr>
        <w:br/>
      </w:r>
      <w:r w:rsidRPr="002F564E">
        <w:rPr>
          <w:rFonts w:ascii="Times New Roman" w:hAnsi="Times New Roman"/>
          <w:bCs/>
          <w:iCs/>
          <w:sz w:val="24"/>
          <w:szCs w:val="24"/>
        </w:rPr>
        <w:t xml:space="preserve">2014-2020 годы», включающей в себя </w:t>
      </w:r>
      <w:r w:rsidRPr="00EC4183">
        <w:rPr>
          <w:rFonts w:ascii="Times New Roman" w:hAnsi="Times New Roman"/>
          <w:bCs/>
          <w:iCs/>
          <w:sz w:val="24"/>
          <w:szCs w:val="24"/>
        </w:rPr>
        <w:t xml:space="preserve">9 </w:t>
      </w:r>
      <w:r>
        <w:rPr>
          <w:rFonts w:ascii="Times New Roman" w:hAnsi="Times New Roman"/>
          <w:bCs/>
          <w:iCs/>
          <w:sz w:val="24"/>
          <w:szCs w:val="24"/>
        </w:rPr>
        <w:t>подпрограмм, составляет 19,3</w:t>
      </w:r>
      <w:r w:rsidRPr="002F564E">
        <w:rPr>
          <w:rFonts w:ascii="Times New Roman" w:hAnsi="Times New Roman"/>
          <w:bCs/>
          <w:iCs/>
          <w:sz w:val="24"/>
          <w:szCs w:val="24"/>
        </w:rPr>
        <w:t xml:space="preserve"> процента. Наибольшая доля расходов государственной программы (</w:t>
      </w:r>
      <w:r>
        <w:rPr>
          <w:rFonts w:ascii="Times New Roman" w:hAnsi="Times New Roman"/>
          <w:bCs/>
          <w:iCs/>
          <w:sz w:val="24"/>
          <w:szCs w:val="24"/>
        </w:rPr>
        <w:t>74,8</w:t>
      </w:r>
      <w:r w:rsidRPr="002F564E">
        <w:rPr>
          <w:rFonts w:ascii="Times New Roman" w:hAnsi="Times New Roman"/>
          <w:bCs/>
          <w:iCs/>
          <w:sz w:val="24"/>
          <w:szCs w:val="24"/>
        </w:rPr>
        <w:t xml:space="preserve"> процента) приходится на финансирование мероприятий подпрограммы «Обеспечение реализации основных направлений государственной политики в сфере реализации государственной программы».</w:t>
      </w:r>
      <w:r w:rsidRPr="002F564E">
        <w:rPr>
          <w:rFonts w:ascii="Times New Roman" w:hAnsi="Times New Roman"/>
          <w:color w:val="000000"/>
          <w:sz w:val="24"/>
          <w:szCs w:val="24"/>
        </w:rPr>
        <w:t xml:space="preserve"> В рамках </w:t>
      </w:r>
      <w:r w:rsidRPr="002F564E">
        <w:rPr>
          <w:rFonts w:ascii="Times New Roman" w:hAnsi="Times New Roman"/>
          <w:color w:val="000000"/>
          <w:sz w:val="24"/>
          <w:szCs w:val="24"/>
        </w:rPr>
        <w:lastRenderedPageBreak/>
        <w:t>указанной подпрограммы предусмотрено предоставление средств межбюджетных трансфертов Федеральному фонду обязательного медицинского страхования на обязательное медицинское страхование неработающего нас</w:t>
      </w:r>
      <w:r>
        <w:rPr>
          <w:rFonts w:ascii="Times New Roman" w:hAnsi="Times New Roman"/>
          <w:color w:val="000000"/>
          <w:sz w:val="24"/>
          <w:szCs w:val="24"/>
        </w:rPr>
        <w:t>еления в объеме 4882612,0</w:t>
      </w:r>
      <w:r w:rsidRPr="002F564E">
        <w:rPr>
          <w:rFonts w:ascii="Times New Roman" w:hAnsi="Times New Roman"/>
          <w:color w:val="000000"/>
          <w:sz w:val="24"/>
          <w:szCs w:val="24"/>
        </w:rPr>
        <w:t xml:space="preserve"> тыс. рублей, что составляет </w:t>
      </w:r>
      <w:r>
        <w:rPr>
          <w:rFonts w:ascii="Times New Roman" w:hAnsi="Times New Roman"/>
          <w:color w:val="000000"/>
          <w:sz w:val="24"/>
          <w:szCs w:val="24"/>
        </w:rPr>
        <w:t>96,0</w:t>
      </w:r>
      <w:r w:rsidRPr="002F564E">
        <w:rPr>
          <w:rFonts w:ascii="Times New Roman" w:hAnsi="Times New Roman"/>
          <w:color w:val="000000"/>
          <w:sz w:val="24"/>
          <w:szCs w:val="24"/>
        </w:rPr>
        <w:t xml:space="preserve"> процент</w:t>
      </w:r>
      <w:r>
        <w:rPr>
          <w:rFonts w:ascii="Times New Roman" w:hAnsi="Times New Roman"/>
          <w:color w:val="000000"/>
          <w:sz w:val="24"/>
          <w:szCs w:val="24"/>
        </w:rPr>
        <w:t>ов</w:t>
      </w:r>
      <w:r w:rsidRPr="002F564E">
        <w:rPr>
          <w:rFonts w:ascii="Times New Roman" w:hAnsi="Times New Roman"/>
          <w:color w:val="000000"/>
          <w:sz w:val="24"/>
          <w:szCs w:val="24"/>
        </w:rPr>
        <w:t xml:space="preserve"> средств областного бюджета, предусмотренных на финансирование подпрограммы.</w:t>
      </w:r>
    </w:p>
    <w:p w:rsidR="004C2E5E" w:rsidRPr="002F564E" w:rsidRDefault="004C2E5E" w:rsidP="004C2E5E">
      <w:pPr>
        <w:widowControl w:val="0"/>
        <w:tabs>
          <w:tab w:val="left" w:pos="540"/>
        </w:tabs>
        <w:spacing w:after="0" w:line="240" w:lineRule="auto"/>
        <w:ind w:firstLine="709"/>
        <w:jc w:val="both"/>
        <w:rPr>
          <w:rFonts w:ascii="Times New Roman" w:hAnsi="Times New Roman"/>
          <w:bCs/>
          <w:iCs/>
          <w:sz w:val="24"/>
          <w:szCs w:val="24"/>
        </w:rPr>
      </w:pPr>
      <w:r w:rsidRPr="002F564E">
        <w:rPr>
          <w:rFonts w:ascii="Times New Roman" w:hAnsi="Times New Roman"/>
          <w:bCs/>
          <w:iCs/>
          <w:sz w:val="24"/>
          <w:szCs w:val="24"/>
        </w:rPr>
        <w:t>Расходы</w:t>
      </w:r>
      <w:r w:rsidRPr="004C2E5E">
        <w:rPr>
          <w:rFonts w:ascii="Times New Roman" w:hAnsi="Times New Roman"/>
          <w:bCs/>
          <w:iCs/>
          <w:sz w:val="24"/>
          <w:szCs w:val="24"/>
        </w:rPr>
        <w:t xml:space="preserve"> </w:t>
      </w:r>
      <w:r w:rsidRPr="002F564E">
        <w:rPr>
          <w:rFonts w:ascii="Times New Roman" w:hAnsi="Times New Roman"/>
          <w:bCs/>
          <w:iCs/>
          <w:sz w:val="24"/>
          <w:szCs w:val="24"/>
        </w:rPr>
        <w:t>на реализацию государственной программы «Повышение эффективности деятельности органов государственной власти и управления» в структуре программных расходов областного бюджета занимают 18,</w:t>
      </w:r>
      <w:r>
        <w:rPr>
          <w:rFonts w:ascii="Times New Roman" w:hAnsi="Times New Roman"/>
          <w:bCs/>
          <w:iCs/>
          <w:sz w:val="24"/>
          <w:szCs w:val="24"/>
        </w:rPr>
        <w:t>8</w:t>
      </w:r>
      <w:r w:rsidRPr="002F564E">
        <w:rPr>
          <w:rFonts w:ascii="Times New Roman" w:hAnsi="Times New Roman"/>
          <w:bCs/>
          <w:iCs/>
          <w:sz w:val="24"/>
          <w:szCs w:val="24"/>
        </w:rPr>
        <w:t xml:space="preserve"> процента. В состав указанной государственной программы входят 6 подпрограмм. Доля расходов подпрограммы «Повышение эффективности управления государственными финансами и государственным</w:t>
      </w:r>
      <w:r>
        <w:rPr>
          <w:rFonts w:ascii="Times New Roman" w:hAnsi="Times New Roman"/>
          <w:bCs/>
          <w:iCs/>
          <w:sz w:val="24"/>
          <w:szCs w:val="24"/>
        </w:rPr>
        <w:t xml:space="preserve"> долгом Амурской области» - 93,0</w:t>
      </w:r>
      <w:r w:rsidRPr="002F564E">
        <w:rPr>
          <w:rFonts w:ascii="Times New Roman" w:hAnsi="Times New Roman"/>
          <w:bCs/>
          <w:iCs/>
          <w:sz w:val="24"/>
          <w:szCs w:val="24"/>
        </w:rPr>
        <w:t xml:space="preserve"> процента.</w:t>
      </w:r>
    </w:p>
    <w:p w:rsidR="004C2E5E" w:rsidRDefault="004C2E5E" w:rsidP="004C2E5E">
      <w:pPr>
        <w:widowControl w:val="0"/>
        <w:tabs>
          <w:tab w:val="left" w:pos="540"/>
        </w:tabs>
        <w:spacing w:after="0" w:line="240" w:lineRule="auto"/>
        <w:ind w:firstLine="709"/>
        <w:jc w:val="both"/>
        <w:rPr>
          <w:rFonts w:ascii="Times New Roman" w:hAnsi="Times New Roman"/>
          <w:bCs/>
          <w:iCs/>
          <w:sz w:val="24"/>
          <w:szCs w:val="24"/>
        </w:rPr>
      </w:pPr>
      <w:r w:rsidRPr="002F564E">
        <w:rPr>
          <w:rFonts w:ascii="Times New Roman" w:hAnsi="Times New Roman"/>
          <w:bCs/>
          <w:iCs/>
          <w:sz w:val="24"/>
          <w:szCs w:val="24"/>
        </w:rPr>
        <w:t>В структуре программных расходов областного бюджета расходы на финансирование государственной программы «Развитие системы социальной защиты населения Амурской области на 2014-2020 годы», включающей в себ</w:t>
      </w:r>
      <w:r>
        <w:rPr>
          <w:rFonts w:ascii="Times New Roman" w:hAnsi="Times New Roman"/>
          <w:bCs/>
          <w:iCs/>
          <w:sz w:val="24"/>
          <w:szCs w:val="24"/>
        </w:rPr>
        <w:t>я 5 подпрограмм, составляют 17,2</w:t>
      </w:r>
      <w:r w:rsidRPr="002F564E">
        <w:rPr>
          <w:rFonts w:ascii="Times New Roman" w:hAnsi="Times New Roman"/>
          <w:bCs/>
          <w:iCs/>
          <w:sz w:val="24"/>
          <w:szCs w:val="24"/>
        </w:rPr>
        <w:t xml:space="preserve"> процента. </w:t>
      </w:r>
      <w:r>
        <w:rPr>
          <w:rFonts w:ascii="Times New Roman" w:hAnsi="Times New Roman"/>
          <w:bCs/>
          <w:iCs/>
          <w:sz w:val="24"/>
          <w:szCs w:val="24"/>
        </w:rPr>
        <w:t xml:space="preserve">Плановый объем ассигнований областного бюджета на реализацию указанной программы в 2015 году выше ассигнований </w:t>
      </w:r>
      <w:r w:rsidR="00D42ED7">
        <w:rPr>
          <w:rFonts w:ascii="Times New Roman" w:hAnsi="Times New Roman"/>
          <w:bCs/>
          <w:iCs/>
          <w:sz w:val="24"/>
          <w:szCs w:val="24"/>
        </w:rPr>
        <w:t>текущего года на 11,9 процента.</w:t>
      </w:r>
    </w:p>
    <w:p w:rsidR="004C2E5E" w:rsidRPr="00D42ED7" w:rsidRDefault="004C2E5E" w:rsidP="004C2E5E">
      <w:pPr>
        <w:autoSpaceDE w:val="0"/>
        <w:autoSpaceDN w:val="0"/>
        <w:adjustRightInd w:val="0"/>
        <w:spacing w:after="0" w:line="240" w:lineRule="auto"/>
        <w:ind w:firstLine="709"/>
        <w:jc w:val="both"/>
        <w:rPr>
          <w:rFonts w:ascii="Times New Roman" w:eastAsiaTheme="minorHAnsi" w:hAnsi="Times New Roman"/>
          <w:b/>
          <w:bCs/>
          <w:sz w:val="24"/>
          <w:szCs w:val="24"/>
          <w:lang w:eastAsia="en-US"/>
        </w:rPr>
      </w:pPr>
      <w:r w:rsidRPr="002F564E">
        <w:rPr>
          <w:rFonts w:ascii="Times New Roman" w:hAnsi="Times New Roman"/>
          <w:bCs/>
          <w:iCs/>
          <w:sz w:val="24"/>
          <w:szCs w:val="24"/>
        </w:rPr>
        <w:t>Расходы на реализацию государственной программы «Развитие транспортной системы Амурской области на 2014-2020 годы» в общей структуре программных расходов о</w:t>
      </w:r>
      <w:r>
        <w:rPr>
          <w:rFonts w:ascii="Times New Roman" w:hAnsi="Times New Roman"/>
          <w:bCs/>
          <w:iCs/>
          <w:sz w:val="24"/>
          <w:szCs w:val="24"/>
        </w:rPr>
        <w:t>бластного бюджета составляют 6,5</w:t>
      </w:r>
      <w:r w:rsidRPr="002F564E">
        <w:rPr>
          <w:rFonts w:ascii="Times New Roman" w:hAnsi="Times New Roman"/>
          <w:bCs/>
          <w:iCs/>
          <w:sz w:val="24"/>
          <w:szCs w:val="24"/>
        </w:rPr>
        <w:t xml:space="preserve"> процента. В состав данной государственной программы входят 4 подпрограммы</w:t>
      </w:r>
      <w:r>
        <w:rPr>
          <w:rFonts w:ascii="Times New Roman" w:hAnsi="Times New Roman"/>
          <w:bCs/>
          <w:iCs/>
          <w:sz w:val="24"/>
          <w:szCs w:val="24"/>
        </w:rPr>
        <w:t>. Наибольшую долю расходов (93,1</w:t>
      </w:r>
      <w:r w:rsidRPr="002F564E">
        <w:rPr>
          <w:rFonts w:ascii="Times New Roman" w:hAnsi="Times New Roman"/>
          <w:bCs/>
          <w:iCs/>
          <w:sz w:val="24"/>
          <w:szCs w:val="24"/>
        </w:rPr>
        <w:t xml:space="preserve"> процента) занимает подпрограмма «Развитие сети автомобильных дорог общего пользования Амурской области», финансирование которой предусмотрено за счет средств дорожного фонда Амурской области.</w:t>
      </w:r>
    </w:p>
    <w:p w:rsidR="004C2E5E" w:rsidRPr="002F564E" w:rsidRDefault="004C2E5E" w:rsidP="004C2E5E">
      <w:pPr>
        <w:widowControl w:val="0"/>
        <w:tabs>
          <w:tab w:val="left" w:pos="540"/>
        </w:tabs>
        <w:spacing w:after="0" w:line="240" w:lineRule="auto"/>
        <w:ind w:firstLine="709"/>
        <w:jc w:val="both"/>
        <w:rPr>
          <w:rFonts w:ascii="Times New Roman" w:hAnsi="Times New Roman"/>
          <w:bCs/>
          <w:iCs/>
          <w:sz w:val="24"/>
          <w:szCs w:val="24"/>
        </w:rPr>
      </w:pPr>
      <w:r w:rsidRPr="002F564E">
        <w:rPr>
          <w:rFonts w:ascii="Times New Roman" w:hAnsi="Times New Roman"/>
          <w:bCs/>
          <w:iCs/>
          <w:sz w:val="24"/>
          <w:szCs w:val="24"/>
        </w:rPr>
        <w:t xml:space="preserve">Расходы </w:t>
      </w:r>
      <w:r w:rsidR="00DC3353" w:rsidRPr="002F564E">
        <w:rPr>
          <w:rFonts w:ascii="Times New Roman" w:hAnsi="Times New Roman"/>
          <w:bCs/>
          <w:iCs/>
          <w:sz w:val="24"/>
          <w:szCs w:val="24"/>
        </w:rPr>
        <w:t xml:space="preserve">на реализацию </w:t>
      </w:r>
      <w:r w:rsidRPr="002F564E">
        <w:rPr>
          <w:rFonts w:ascii="Times New Roman" w:hAnsi="Times New Roman"/>
          <w:bCs/>
          <w:iCs/>
          <w:sz w:val="24"/>
          <w:szCs w:val="24"/>
        </w:rPr>
        <w:t xml:space="preserve">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в программных расходах областного бюджета составляют </w:t>
      </w:r>
      <w:r>
        <w:rPr>
          <w:rFonts w:ascii="Times New Roman" w:hAnsi="Times New Roman"/>
          <w:bCs/>
          <w:iCs/>
          <w:sz w:val="24"/>
          <w:szCs w:val="24"/>
        </w:rPr>
        <w:t>4,4</w:t>
      </w:r>
      <w:r w:rsidRPr="002F564E">
        <w:rPr>
          <w:rFonts w:ascii="Times New Roman" w:hAnsi="Times New Roman"/>
          <w:bCs/>
          <w:iCs/>
          <w:sz w:val="24"/>
          <w:szCs w:val="24"/>
        </w:rPr>
        <w:t xml:space="preserve"> процента.</w:t>
      </w:r>
      <w:r>
        <w:rPr>
          <w:rFonts w:ascii="Times New Roman" w:hAnsi="Times New Roman"/>
          <w:bCs/>
          <w:iCs/>
          <w:sz w:val="24"/>
          <w:szCs w:val="24"/>
        </w:rPr>
        <w:t xml:space="preserve"> Наибольшую долю расходов (93,5</w:t>
      </w:r>
      <w:r w:rsidRPr="002F564E">
        <w:rPr>
          <w:rFonts w:ascii="Times New Roman" w:hAnsi="Times New Roman"/>
          <w:bCs/>
          <w:iCs/>
          <w:sz w:val="24"/>
          <w:szCs w:val="24"/>
        </w:rPr>
        <w:t xml:space="preserve"> процента) занимает подпрограмма «Обеспечение доступности коммунальных услуг, повышения качества и надежности жилищно-коммун</w:t>
      </w:r>
      <w:r>
        <w:rPr>
          <w:rFonts w:ascii="Times New Roman" w:hAnsi="Times New Roman"/>
          <w:bCs/>
          <w:iCs/>
          <w:sz w:val="24"/>
          <w:szCs w:val="24"/>
        </w:rPr>
        <w:t>ального обслуживания населения».</w:t>
      </w:r>
    </w:p>
    <w:p w:rsidR="004C2E5E" w:rsidRPr="002F564E" w:rsidRDefault="004C2E5E" w:rsidP="004C2E5E">
      <w:pPr>
        <w:autoSpaceDE w:val="0"/>
        <w:autoSpaceDN w:val="0"/>
        <w:adjustRightInd w:val="0"/>
        <w:spacing w:after="0" w:line="240" w:lineRule="auto"/>
        <w:ind w:firstLine="709"/>
        <w:jc w:val="both"/>
        <w:rPr>
          <w:rFonts w:ascii="Times New Roman" w:hAnsi="Times New Roman"/>
          <w:bCs/>
          <w:iCs/>
          <w:sz w:val="24"/>
          <w:szCs w:val="24"/>
        </w:rPr>
      </w:pPr>
      <w:r w:rsidRPr="002F564E">
        <w:rPr>
          <w:rFonts w:ascii="Times New Roman" w:hAnsi="Times New Roman"/>
          <w:bCs/>
          <w:iCs/>
          <w:sz w:val="24"/>
          <w:szCs w:val="24"/>
        </w:rPr>
        <w:t xml:space="preserve">Объем расходов областного бюджета на реализацию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включающей в себя </w:t>
      </w:r>
      <w:r>
        <w:rPr>
          <w:rFonts w:ascii="Times New Roman" w:hAnsi="Times New Roman"/>
          <w:bCs/>
          <w:iCs/>
          <w:sz w:val="24"/>
          <w:szCs w:val="24"/>
        </w:rPr>
        <w:br/>
      </w:r>
      <w:r w:rsidRPr="002F564E">
        <w:rPr>
          <w:rFonts w:ascii="Times New Roman" w:hAnsi="Times New Roman"/>
          <w:bCs/>
          <w:iCs/>
          <w:sz w:val="24"/>
          <w:szCs w:val="24"/>
        </w:rPr>
        <w:t>9 подпрограмм, сос</w:t>
      </w:r>
      <w:r>
        <w:rPr>
          <w:rFonts w:ascii="Times New Roman" w:hAnsi="Times New Roman"/>
          <w:bCs/>
          <w:iCs/>
          <w:sz w:val="24"/>
          <w:szCs w:val="24"/>
        </w:rPr>
        <w:t xml:space="preserve">тавляет 945439,7 тыс. рублей, или 2,7 </w:t>
      </w:r>
      <w:r w:rsidRPr="002F564E">
        <w:rPr>
          <w:rFonts w:ascii="Times New Roman" w:hAnsi="Times New Roman"/>
          <w:bCs/>
          <w:iCs/>
          <w:sz w:val="24"/>
          <w:szCs w:val="24"/>
        </w:rPr>
        <w:t>процента программных расходов 201</w:t>
      </w:r>
      <w:r>
        <w:rPr>
          <w:rFonts w:ascii="Times New Roman" w:hAnsi="Times New Roman"/>
          <w:bCs/>
          <w:iCs/>
          <w:sz w:val="24"/>
          <w:szCs w:val="24"/>
        </w:rPr>
        <w:t>5</w:t>
      </w:r>
      <w:r w:rsidRPr="002F564E">
        <w:rPr>
          <w:rFonts w:ascii="Times New Roman" w:hAnsi="Times New Roman"/>
          <w:bCs/>
          <w:iCs/>
          <w:sz w:val="24"/>
          <w:szCs w:val="24"/>
        </w:rPr>
        <w:t xml:space="preserve"> года. В рамках реализации государственной программ</w:t>
      </w:r>
      <w:r>
        <w:rPr>
          <w:rFonts w:ascii="Times New Roman" w:hAnsi="Times New Roman"/>
          <w:bCs/>
          <w:iCs/>
          <w:sz w:val="24"/>
          <w:szCs w:val="24"/>
        </w:rPr>
        <w:t xml:space="preserve">ы предусмотрено предоставление </w:t>
      </w:r>
      <w:r w:rsidRPr="00793FD9">
        <w:rPr>
          <w:rFonts w:ascii="Times New Roman" w:hAnsi="Times New Roman"/>
          <w:bCs/>
          <w:iCs/>
          <w:sz w:val="24"/>
          <w:szCs w:val="24"/>
        </w:rPr>
        <w:t>20</w:t>
      </w:r>
      <w:r>
        <w:rPr>
          <w:rFonts w:ascii="Times New Roman" w:hAnsi="Times New Roman"/>
          <w:bCs/>
          <w:iCs/>
          <w:sz w:val="24"/>
          <w:szCs w:val="24"/>
        </w:rPr>
        <w:t xml:space="preserve"> видов</w:t>
      </w:r>
      <w:r w:rsidRPr="002F564E">
        <w:rPr>
          <w:rFonts w:ascii="Times New Roman" w:hAnsi="Times New Roman"/>
          <w:bCs/>
          <w:iCs/>
          <w:sz w:val="24"/>
          <w:szCs w:val="24"/>
        </w:rPr>
        <w:t xml:space="preserve"> государственной поддержки различным категориям сельхозтоваропроизводителей.</w:t>
      </w:r>
    </w:p>
    <w:p w:rsidR="004C2E5E" w:rsidRPr="00246ADB" w:rsidRDefault="004C2E5E" w:rsidP="004C2E5E">
      <w:pPr>
        <w:autoSpaceDE w:val="0"/>
        <w:autoSpaceDN w:val="0"/>
        <w:adjustRightInd w:val="0"/>
        <w:spacing w:after="0" w:line="240" w:lineRule="auto"/>
        <w:ind w:firstLine="709"/>
        <w:jc w:val="both"/>
        <w:rPr>
          <w:rFonts w:ascii="Times New Roman" w:eastAsiaTheme="minorHAnsi" w:hAnsi="Times New Roman"/>
          <w:b/>
          <w:bCs/>
          <w:sz w:val="24"/>
          <w:szCs w:val="24"/>
          <w:lang w:eastAsia="en-US"/>
        </w:rPr>
      </w:pPr>
      <w:r w:rsidRPr="002F564E">
        <w:rPr>
          <w:rFonts w:ascii="Times New Roman" w:hAnsi="Times New Roman"/>
          <w:bCs/>
          <w:iCs/>
          <w:sz w:val="24"/>
          <w:szCs w:val="24"/>
        </w:rPr>
        <w:t>Расходы</w:t>
      </w:r>
      <w:r w:rsidR="00DC3353">
        <w:rPr>
          <w:rFonts w:ascii="Times New Roman" w:hAnsi="Times New Roman"/>
          <w:bCs/>
          <w:iCs/>
          <w:sz w:val="24"/>
          <w:szCs w:val="24"/>
        </w:rPr>
        <w:t xml:space="preserve"> по</w:t>
      </w:r>
      <w:r w:rsidRPr="002F564E">
        <w:rPr>
          <w:rFonts w:ascii="Times New Roman" w:hAnsi="Times New Roman"/>
          <w:bCs/>
          <w:iCs/>
          <w:sz w:val="24"/>
          <w:szCs w:val="24"/>
        </w:rPr>
        <w:t xml:space="preserve"> государственной программ</w:t>
      </w:r>
      <w:r w:rsidR="00DC3353">
        <w:rPr>
          <w:rFonts w:ascii="Times New Roman" w:hAnsi="Times New Roman"/>
          <w:bCs/>
          <w:iCs/>
          <w:sz w:val="24"/>
          <w:szCs w:val="24"/>
        </w:rPr>
        <w:t>е</w:t>
      </w:r>
      <w:r w:rsidRPr="002F564E">
        <w:rPr>
          <w:rFonts w:ascii="Times New Roman" w:hAnsi="Times New Roman"/>
          <w:bCs/>
          <w:iCs/>
          <w:sz w:val="24"/>
          <w:szCs w:val="24"/>
        </w:rPr>
        <w:t xml:space="preserve">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в структуре расходов областного бюджета занимают 2,4 процента. В состав указанной государственной программы входят </w:t>
      </w:r>
      <w:r>
        <w:rPr>
          <w:rFonts w:ascii="Times New Roman" w:hAnsi="Times New Roman"/>
          <w:bCs/>
          <w:iCs/>
          <w:sz w:val="24"/>
          <w:szCs w:val="24"/>
        </w:rPr>
        <w:br/>
      </w:r>
      <w:r w:rsidRPr="002F564E">
        <w:rPr>
          <w:rFonts w:ascii="Times New Roman" w:hAnsi="Times New Roman"/>
          <w:bCs/>
          <w:iCs/>
          <w:sz w:val="24"/>
          <w:szCs w:val="24"/>
        </w:rPr>
        <w:t>4 подпрограм</w:t>
      </w:r>
      <w:r>
        <w:rPr>
          <w:rFonts w:ascii="Times New Roman" w:hAnsi="Times New Roman"/>
          <w:bCs/>
          <w:iCs/>
          <w:sz w:val="24"/>
          <w:szCs w:val="24"/>
        </w:rPr>
        <w:t>мы. Наибольшая доля расходов (80,6</w:t>
      </w:r>
      <w:r w:rsidRPr="002F564E">
        <w:rPr>
          <w:rFonts w:ascii="Times New Roman" w:hAnsi="Times New Roman"/>
          <w:bCs/>
          <w:iCs/>
          <w:sz w:val="24"/>
          <w:szCs w:val="24"/>
        </w:rPr>
        <w:t xml:space="preserve"> процента) приходится на подпрограмму «Обеспечение пожарной безопасности».</w:t>
      </w:r>
    </w:p>
    <w:p w:rsidR="004C2E5E" w:rsidRDefault="004C2E5E" w:rsidP="004C2E5E">
      <w:pPr>
        <w:widowControl w:val="0"/>
        <w:tabs>
          <w:tab w:val="left" w:pos="540"/>
        </w:tabs>
        <w:spacing w:after="0" w:line="240" w:lineRule="auto"/>
        <w:ind w:firstLine="709"/>
        <w:jc w:val="both"/>
        <w:rPr>
          <w:rFonts w:ascii="Times New Roman" w:hAnsi="Times New Roman"/>
          <w:b/>
          <w:sz w:val="24"/>
          <w:szCs w:val="24"/>
        </w:rPr>
      </w:pPr>
      <w:r w:rsidRPr="002F564E">
        <w:rPr>
          <w:rFonts w:ascii="Times New Roman" w:hAnsi="Times New Roman"/>
          <w:bCs/>
          <w:iCs/>
          <w:sz w:val="24"/>
          <w:szCs w:val="24"/>
        </w:rPr>
        <w:t>Объем расходов областного бюджета на реализацию государственной программы «</w:t>
      </w:r>
      <w:r w:rsidRPr="00F60AB3">
        <w:rPr>
          <w:rFonts w:ascii="Times New Roman" w:hAnsi="Times New Roman"/>
          <w:bCs/>
          <w:iCs/>
          <w:sz w:val="24"/>
          <w:szCs w:val="24"/>
        </w:rPr>
        <w:t>Обеспечение доступным и качественным жильем населения Амурской област</w:t>
      </w:r>
      <w:r>
        <w:rPr>
          <w:rFonts w:ascii="Times New Roman" w:hAnsi="Times New Roman"/>
          <w:bCs/>
          <w:iCs/>
          <w:sz w:val="24"/>
          <w:szCs w:val="24"/>
        </w:rPr>
        <w:t>и на</w:t>
      </w:r>
      <w:r>
        <w:rPr>
          <w:rFonts w:ascii="Times New Roman" w:hAnsi="Times New Roman"/>
          <w:bCs/>
          <w:iCs/>
          <w:sz w:val="24"/>
          <w:szCs w:val="24"/>
        </w:rPr>
        <w:br/>
        <w:t>2014-2020 годы» в составе 10</w:t>
      </w:r>
      <w:r w:rsidRPr="00F60AB3">
        <w:rPr>
          <w:rFonts w:ascii="Times New Roman" w:hAnsi="Times New Roman"/>
          <w:bCs/>
          <w:iCs/>
          <w:sz w:val="24"/>
          <w:szCs w:val="24"/>
        </w:rPr>
        <w:t xml:space="preserve"> подпрограмм</w:t>
      </w:r>
      <w:r w:rsidRPr="002F564E">
        <w:rPr>
          <w:rFonts w:ascii="Times New Roman" w:hAnsi="Times New Roman"/>
          <w:bCs/>
          <w:iCs/>
          <w:sz w:val="24"/>
          <w:szCs w:val="24"/>
        </w:rPr>
        <w:t>, сос</w:t>
      </w:r>
      <w:r>
        <w:rPr>
          <w:rFonts w:ascii="Times New Roman" w:hAnsi="Times New Roman"/>
          <w:bCs/>
          <w:iCs/>
          <w:sz w:val="24"/>
          <w:szCs w:val="24"/>
        </w:rPr>
        <w:t xml:space="preserve">тавляет 769503,3 тыс. рублей, или </w:t>
      </w:r>
      <w:r>
        <w:rPr>
          <w:rFonts w:ascii="Times New Roman" w:hAnsi="Times New Roman"/>
          <w:bCs/>
          <w:iCs/>
          <w:sz w:val="24"/>
          <w:szCs w:val="24"/>
        </w:rPr>
        <w:br/>
        <w:t xml:space="preserve">2,2 </w:t>
      </w:r>
      <w:r w:rsidRPr="002F564E">
        <w:rPr>
          <w:rFonts w:ascii="Times New Roman" w:hAnsi="Times New Roman"/>
          <w:bCs/>
          <w:iCs/>
          <w:sz w:val="24"/>
          <w:szCs w:val="24"/>
        </w:rPr>
        <w:t>процента программных расходов 201</w:t>
      </w:r>
      <w:r>
        <w:rPr>
          <w:rFonts w:ascii="Times New Roman" w:hAnsi="Times New Roman"/>
          <w:bCs/>
          <w:iCs/>
          <w:sz w:val="24"/>
          <w:szCs w:val="24"/>
        </w:rPr>
        <w:t>5</w:t>
      </w:r>
      <w:r w:rsidRPr="002F564E">
        <w:rPr>
          <w:rFonts w:ascii="Times New Roman" w:hAnsi="Times New Roman"/>
          <w:bCs/>
          <w:iCs/>
          <w:sz w:val="24"/>
          <w:szCs w:val="24"/>
        </w:rPr>
        <w:t xml:space="preserve"> года. </w:t>
      </w:r>
      <w:r w:rsidRPr="00793FD9">
        <w:rPr>
          <w:rFonts w:ascii="Times New Roman" w:hAnsi="Times New Roman"/>
          <w:sz w:val="24"/>
          <w:szCs w:val="24"/>
        </w:rPr>
        <w:t xml:space="preserve">В состав государственной программы введена новая подпрограмма «Семья детям». Объем ассигнований областного бюджета  на ее реализацию предусмотрен: в 2015 году - 32941,0 тыс. рублей, в 2016 году – </w:t>
      </w:r>
      <w:r>
        <w:rPr>
          <w:rFonts w:ascii="Times New Roman" w:hAnsi="Times New Roman"/>
          <w:sz w:val="24"/>
          <w:szCs w:val="24"/>
        </w:rPr>
        <w:br/>
      </w:r>
      <w:r w:rsidRPr="00793FD9">
        <w:rPr>
          <w:rFonts w:ascii="Times New Roman" w:hAnsi="Times New Roman"/>
          <w:sz w:val="24"/>
          <w:szCs w:val="24"/>
        </w:rPr>
        <w:t>54431,0 тыс. рублей, в 2016 году -  60577,0 тыс. рублей.</w:t>
      </w:r>
    </w:p>
    <w:p w:rsidR="004C2E5E" w:rsidRPr="002F564E" w:rsidRDefault="004C2E5E" w:rsidP="004C2E5E">
      <w:pPr>
        <w:widowControl w:val="0"/>
        <w:tabs>
          <w:tab w:val="left" w:pos="540"/>
        </w:tabs>
        <w:spacing w:after="0" w:line="240" w:lineRule="auto"/>
        <w:ind w:firstLine="709"/>
        <w:jc w:val="both"/>
        <w:rPr>
          <w:rFonts w:ascii="Times New Roman" w:hAnsi="Times New Roman"/>
          <w:bCs/>
          <w:iCs/>
          <w:sz w:val="24"/>
          <w:szCs w:val="24"/>
        </w:rPr>
      </w:pPr>
      <w:r w:rsidRPr="002F564E">
        <w:rPr>
          <w:rFonts w:ascii="Times New Roman" w:hAnsi="Times New Roman"/>
          <w:bCs/>
          <w:iCs/>
          <w:sz w:val="24"/>
          <w:szCs w:val="24"/>
        </w:rPr>
        <w:t xml:space="preserve">Расходы </w:t>
      </w:r>
      <w:r w:rsidR="00DC3353" w:rsidRPr="002F564E">
        <w:rPr>
          <w:rFonts w:ascii="Times New Roman" w:hAnsi="Times New Roman"/>
          <w:bCs/>
          <w:iCs/>
          <w:sz w:val="24"/>
          <w:szCs w:val="24"/>
        </w:rPr>
        <w:t xml:space="preserve">на реализацию </w:t>
      </w:r>
      <w:r w:rsidRPr="002F564E">
        <w:rPr>
          <w:rFonts w:ascii="Times New Roman" w:hAnsi="Times New Roman"/>
          <w:bCs/>
          <w:iCs/>
          <w:sz w:val="24"/>
          <w:szCs w:val="24"/>
        </w:rPr>
        <w:t>государственной программы «</w:t>
      </w:r>
      <w:r w:rsidRPr="00F60AB3">
        <w:rPr>
          <w:rFonts w:ascii="Times New Roman" w:hAnsi="Times New Roman"/>
          <w:bCs/>
          <w:iCs/>
          <w:sz w:val="24"/>
          <w:szCs w:val="24"/>
        </w:rPr>
        <w:t>Экономическое развитие и инновационная экономика Амурской области на 2014-2020 годы» в составе 7 подпрограмм</w:t>
      </w:r>
      <w:r>
        <w:rPr>
          <w:rFonts w:ascii="Times New Roman" w:hAnsi="Times New Roman"/>
          <w:bCs/>
          <w:iCs/>
          <w:sz w:val="24"/>
          <w:szCs w:val="24"/>
        </w:rPr>
        <w:t xml:space="preserve"> </w:t>
      </w:r>
      <w:r w:rsidRPr="002F564E">
        <w:rPr>
          <w:rFonts w:ascii="Times New Roman" w:hAnsi="Times New Roman"/>
          <w:bCs/>
          <w:iCs/>
          <w:sz w:val="24"/>
          <w:szCs w:val="24"/>
        </w:rPr>
        <w:t xml:space="preserve">в программных расходах областного бюджета составляют </w:t>
      </w:r>
      <w:r>
        <w:rPr>
          <w:rFonts w:ascii="Times New Roman" w:hAnsi="Times New Roman"/>
          <w:bCs/>
          <w:iCs/>
          <w:sz w:val="24"/>
          <w:szCs w:val="24"/>
        </w:rPr>
        <w:t>2,2</w:t>
      </w:r>
      <w:r w:rsidR="00D42ED7">
        <w:rPr>
          <w:rFonts w:ascii="Times New Roman" w:hAnsi="Times New Roman"/>
          <w:bCs/>
          <w:iCs/>
          <w:sz w:val="24"/>
          <w:szCs w:val="24"/>
        </w:rPr>
        <w:t xml:space="preserve"> процента.</w:t>
      </w:r>
    </w:p>
    <w:p w:rsidR="004C2E5E" w:rsidRPr="002F564E" w:rsidRDefault="004C2E5E" w:rsidP="004C2E5E">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Удельный вес расходов трех</w:t>
      </w:r>
      <w:r w:rsidRPr="002F564E">
        <w:rPr>
          <w:rFonts w:ascii="Times New Roman" w:hAnsi="Times New Roman"/>
          <w:bCs/>
          <w:iCs/>
          <w:sz w:val="24"/>
          <w:szCs w:val="24"/>
        </w:rPr>
        <w:t xml:space="preserve"> государственных программ в программной структуре расходов областного бюджета состав</w:t>
      </w:r>
      <w:r w:rsidR="00DC3353">
        <w:rPr>
          <w:rFonts w:ascii="Times New Roman" w:hAnsi="Times New Roman"/>
          <w:bCs/>
          <w:iCs/>
          <w:sz w:val="24"/>
          <w:szCs w:val="24"/>
        </w:rPr>
        <w:t>ляе</w:t>
      </w:r>
      <w:r>
        <w:rPr>
          <w:rFonts w:ascii="Times New Roman" w:hAnsi="Times New Roman"/>
          <w:bCs/>
          <w:iCs/>
          <w:sz w:val="24"/>
          <w:szCs w:val="24"/>
        </w:rPr>
        <w:t>т 1,1 процента, в том числе:</w:t>
      </w:r>
    </w:p>
    <w:p w:rsidR="004C2E5E" w:rsidRPr="00F60AB3" w:rsidRDefault="004C2E5E" w:rsidP="00DA5F4F">
      <w:pPr>
        <w:pStyle w:val="ad"/>
        <w:widowControl w:val="0"/>
        <w:numPr>
          <w:ilvl w:val="0"/>
          <w:numId w:val="10"/>
        </w:numPr>
        <w:tabs>
          <w:tab w:val="left" w:pos="540"/>
          <w:tab w:val="left" w:pos="993"/>
        </w:tabs>
        <w:spacing w:after="0" w:line="240" w:lineRule="auto"/>
        <w:ind w:left="0" w:firstLine="709"/>
        <w:jc w:val="both"/>
        <w:rPr>
          <w:rFonts w:ascii="Times New Roman" w:hAnsi="Times New Roman"/>
          <w:bCs/>
          <w:iCs/>
          <w:sz w:val="24"/>
          <w:szCs w:val="24"/>
        </w:rPr>
      </w:pPr>
      <w:r w:rsidRPr="00F60AB3">
        <w:rPr>
          <w:rFonts w:ascii="Times New Roman" w:hAnsi="Times New Roman"/>
          <w:bCs/>
          <w:iCs/>
          <w:sz w:val="24"/>
          <w:szCs w:val="24"/>
        </w:rPr>
        <w:lastRenderedPageBreak/>
        <w:t xml:space="preserve"> «Развитие и сохранение культуры и искусства Амурской области </w:t>
      </w:r>
      <w:r>
        <w:rPr>
          <w:rFonts w:ascii="Times New Roman" w:hAnsi="Times New Roman"/>
          <w:bCs/>
          <w:iCs/>
          <w:sz w:val="24"/>
          <w:szCs w:val="24"/>
        </w:rPr>
        <w:br/>
      </w:r>
      <w:r w:rsidRPr="00F60AB3">
        <w:rPr>
          <w:rFonts w:ascii="Times New Roman" w:hAnsi="Times New Roman"/>
          <w:bCs/>
          <w:iCs/>
          <w:sz w:val="24"/>
          <w:szCs w:val="24"/>
        </w:rPr>
        <w:t>на 2014-2020 год</w:t>
      </w:r>
      <w:r>
        <w:rPr>
          <w:rFonts w:ascii="Times New Roman" w:hAnsi="Times New Roman"/>
          <w:bCs/>
          <w:iCs/>
          <w:sz w:val="24"/>
          <w:szCs w:val="24"/>
        </w:rPr>
        <w:t>ы» в составе 8 подпрограмм - 0,3</w:t>
      </w:r>
      <w:r w:rsidRPr="00F60AB3">
        <w:rPr>
          <w:rFonts w:ascii="Times New Roman" w:hAnsi="Times New Roman"/>
          <w:bCs/>
          <w:iCs/>
          <w:sz w:val="24"/>
          <w:szCs w:val="24"/>
        </w:rPr>
        <w:t xml:space="preserve"> процента;</w:t>
      </w:r>
    </w:p>
    <w:p w:rsidR="004C2E5E" w:rsidRPr="00F60AB3" w:rsidRDefault="004C2E5E" w:rsidP="00DA5F4F">
      <w:pPr>
        <w:pStyle w:val="ad"/>
        <w:widowControl w:val="0"/>
        <w:numPr>
          <w:ilvl w:val="0"/>
          <w:numId w:val="10"/>
        </w:numPr>
        <w:tabs>
          <w:tab w:val="left" w:pos="540"/>
          <w:tab w:val="left" w:pos="993"/>
        </w:tabs>
        <w:spacing w:after="0" w:line="240" w:lineRule="auto"/>
        <w:ind w:left="0" w:firstLine="709"/>
        <w:jc w:val="both"/>
        <w:rPr>
          <w:rFonts w:ascii="Times New Roman" w:hAnsi="Times New Roman"/>
          <w:bCs/>
          <w:iCs/>
          <w:sz w:val="24"/>
          <w:szCs w:val="24"/>
        </w:rPr>
      </w:pPr>
      <w:r w:rsidRPr="00F60AB3">
        <w:rPr>
          <w:rFonts w:ascii="Times New Roman" w:hAnsi="Times New Roman"/>
          <w:bCs/>
          <w:iCs/>
          <w:sz w:val="24"/>
          <w:szCs w:val="24"/>
        </w:rPr>
        <w:t>«Охрана окружающей среды в Амурской области на 2014-2020 годы</w:t>
      </w:r>
      <w:r>
        <w:rPr>
          <w:rFonts w:ascii="Times New Roman" w:hAnsi="Times New Roman"/>
          <w:bCs/>
          <w:iCs/>
          <w:sz w:val="24"/>
          <w:szCs w:val="24"/>
        </w:rPr>
        <w:t xml:space="preserve">» в составе </w:t>
      </w:r>
      <w:r>
        <w:rPr>
          <w:rFonts w:ascii="Times New Roman" w:hAnsi="Times New Roman"/>
          <w:bCs/>
          <w:iCs/>
          <w:sz w:val="24"/>
          <w:szCs w:val="24"/>
        </w:rPr>
        <w:br/>
        <w:t>4 подпрограмм – 0,5</w:t>
      </w:r>
      <w:r w:rsidRPr="00F60AB3">
        <w:rPr>
          <w:rFonts w:ascii="Times New Roman" w:hAnsi="Times New Roman"/>
          <w:bCs/>
          <w:iCs/>
          <w:sz w:val="24"/>
          <w:szCs w:val="24"/>
        </w:rPr>
        <w:t xml:space="preserve"> процента;</w:t>
      </w:r>
    </w:p>
    <w:p w:rsidR="004C2E5E" w:rsidRPr="00F60AB3" w:rsidRDefault="004C2E5E" w:rsidP="00DA5F4F">
      <w:pPr>
        <w:pStyle w:val="ad"/>
        <w:widowControl w:val="0"/>
        <w:numPr>
          <w:ilvl w:val="0"/>
          <w:numId w:val="10"/>
        </w:numPr>
        <w:tabs>
          <w:tab w:val="left" w:pos="540"/>
          <w:tab w:val="left" w:pos="993"/>
        </w:tabs>
        <w:spacing w:after="0" w:line="240" w:lineRule="auto"/>
        <w:ind w:left="0" w:firstLine="709"/>
        <w:jc w:val="both"/>
        <w:rPr>
          <w:rFonts w:ascii="Times New Roman" w:hAnsi="Times New Roman"/>
          <w:bCs/>
          <w:iCs/>
          <w:sz w:val="24"/>
          <w:szCs w:val="24"/>
        </w:rPr>
      </w:pPr>
      <w:r w:rsidRPr="00F60AB3">
        <w:rPr>
          <w:rFonts w:ascii="Times New Roman" w:hAnsi="Times New Roman"/>
          <w:bCs/>
          <w:iCs/>
          <w:sz w:val="24"/>
          <w:szCs w:val="24"/>
        </w:rPr>
        <w:t xml:space="preserve">«Развитие физической культуры и спорта на территории Амурской области на </w:t>
      </w:r>
      <w:r w:rsidRPr="00F60AB3">
        <w:rPr>
          <w:rFonts w:ascii="Times New Roman" w:hAnsi="Times New Roman"/>
          <w:bCs/>
          <w:iCs/>
          <w:sz w:val="24"/>
          <w:szCs w:val="24"/>
        </w:rPr>
        <w:br/>
        <w:t>2014-2020 год</w:t>
      </w:r>
      <w:r>
        <w:rPr>
          <w:rFonts w:ascii="Times New Roman" w:hAnsi="Times New Roman"/>
          <w:bCs/>
          <w:iCs/>
          <w:sz w:val="24"/>
          <w:szCs w:val="24"/>
        </w:rPr>
        <w:t>ы» в составе 2 подпрограмм – 0,3</w:t>
      </w:r>
      <w:r w:rsidRPr="00F60AB3">
        <w:rPr>
          <w:rFonts w:ascii="Times New Roman" w:hAnsi="Times New Roman"/>
          <w:bCs/>
          <w:iCs/>
          <w:sz w:val="24"/>
          <w:szCs w:val="24"/>
        </w:rPr>
        <w:t xml:space="preserve"> процента.</w:t>
      </w:r>
    </w:p>
    <w:p w:rsidR="004C2E5E" w:rsidRPr="00DC3353" w:rsidRDefault="004C2E5E" w:rsidP="004C2E5E">
      <w:pPr>
        <w:tabs>
          <w:tab w:val="left" w:pos="9656"/>
        </w:tabs>
        <w:spacing w:after="0" w:line="240" w:lineRule="auto"/>
        <w:ind w:firstLine="709"/>
        <w:jc w:val="both"/>
        <w:rPr>
          <w:rFonts w:ascii="Times New Roman" w:hAnsi="Times New Roman"/>
          <w:sz w:val="24"/>
          <w:szCs w:val="24"/>
        </w:rPr>
      </w:pPr>
      <w:r w:rsidRPr="00041199">
        <w:rPr>
          <w:rFonts w:ascii="Times New Roman" w:hAnsi="Times New Roman"/>
          <w:sz w:val="24"/>
          <w:szCs w:val="24"/>
        </w:rPr>
        <w:t>Согласно пункту 4 статьи 8 законопроекта объем условно утвержденных расходов составил на 2016 год – 875537,2 тыс. рублей, или 2,</w:t>
      </w:r>
      <w:r>
        <w:rPr>
          <w:rFonts w:ascii="Times New Roman" w:hAnsi="Times New Roman"/>
          <w:sz w:val="24"/>
          <w:szCs w:val="24"/>
        </w:rPr>
        <w:t>7</w:t>
      </w:r>
      <w:r w:rsidRPr="00041199">
        <w:rPr>
          <w:rFonts w:ascii="Times New Roman" w:hAnsi="Times New Roman"/>
          <w:sz w:val="24"/>
          <w:szCs w:val="24"/>
        </w:rPr>
        <w:t xml:space="preserve"> процента общего объема расходов</w:t>
      </w:r>
      <w:r w:rsidRPr="00595B29">
        <w:rPr>
          <w:rFonts w:ascii="Times New Roman" w:hAnsi="Times New Roman"/>
          <w:sz w:val="24"/>
          <w:szCs w:val="24"/>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041199">
        <w:rPr>
          <w:rFonts w:ascii="Times New Roman" w:hAnsi="Times New Roman"/>
          <w:sz w:val="24"/>
          <w:szCs w:val="24"/>
        </w:rPr>
        <w:t xml:space="preserve">, на 2017 год – 1451011,5 тыс. рублей, или </w:t>
      </w:r>
      <w:r>
        <w:rPr>
          <w:rFonts w:ascii="Times New Roman" w:hAnsi="Times New Roman"/>
          <w:sz w:val="24"/>
          <w:szCs w:val="24"/>
        </w:rPr>
        <w:t>5,5</w:t>
      </w:r>
      <w:r w:rsidRPr="00041199">
        <w:rPr>
          <w:rFonts w:ascii="Times New Roman" w:hAnsi="Times New Roman"/>
          <w:sz w:val="24"/>
          <w:szCs w:val="24"/>
        </w:rPr>
        <w:t xml:space="preserve"> процента общего объема расходов</w:t>
      </w:r>
      <w:r>
        <w:rPr>
          <w:rFonts w:ascii="Times New Roman" w:hAnsi="Times New Roman"/>
          <w:sz w:val="24"/>
          <w:szCs w:val="24"/>
        </w:rPr>
        <w:t xml:space="preserve"> </w:t>
      </w:r>
      <w:r w:rsidRPr="00595B29">
        <w:rPr>
          <w:rFonts w:ascii="Times New Roman" w:hAnsi="Times New Roman"/>
          <w:sz w:val="24"/>
          <w:szCs w:val="24"/>
        </w:rPr>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041199">
        <w:rPr>
          <w:rFonts w:ascii="Times New Roman" w:hAnsi="Times New Roman"/>
          <w:sz w:val="24"/>
          <w:szCs w:val="24"/>
        </w:rPr>
        <w:t xml:space="preserve">. </w:t>
      </w:r>
      <w:r w:rsidRPr="00DC3353">
        <w:rPr>
          <w:rFonts w:ascii="Times New Roman" w:hAnsi="Times New Roman"/>
          <w:sz w:val="24"/>
          <w:szCs w:val="24"/>
        </w:rPr>
        <w:t>Процентный уровень условно утвержденных расходов не ниже минимального предельного значения, установленного бюджетным законодательством.</w:t>
      </w:r>
    </w:p>
    <w:p w:rsidR="004C2E5E" w:rsidRPr="006C0487" w:rsidRDefault="004C2E5E" w:rsidP="004C2E5E">
      <w:pPr>
        <w:tabs>
          <w:tab w:val="left" w:pos="9656"/>
        </w:tabs>
        <w:spacing w:after="0" w:line="240" w:lineRule="auto"/>
        <w:ind w:firstLine="709"/>
        <w:jc w:val="both"/>
        <w:rPr>
          <w:rFonts w:ascii="Times New Roman" w:hAnsi="Times New Roman"/>
          <w:sz w:val="24"/>
          <w:szCs w:val="24"/>
        </w:rPr>
      </w:pPr>
      <w:r w:rsidRPr="006C0487">
        <w:rPr>
          <w:rFonts w:ascii="Times New Roman" w:hAnsi="Times New Roman"/>
          <w:sz w:val="24"/>
          <w:szCs w:val="24"/>
        </w:rPr>
        <w:t>Статьей 11 проекта закона области «Об областном бюджете на 2015 год и плановый период 2016 и 2017 годов»</w:t>
      </w:r>
      <w:r>
        <w:rPr>
          <w:rFonts w:ascii="Times New Roman" w:hAnsi="Times New Roman"/>
          <w:sz w:val="24"/>
          <w:szCs w:val="24"/>
        </w:rPr>
        <w:t xml:space="preserve"> на 2015 год</w:t>
      </w:r>
      <w:r w:rsidRPr="006C0487">
        <w:rPr>
          <w:rFonts w:ascii="Times New Roman" w:hAnsi="Times New Roman"/>
          <w:sz w:val="24"/>
          <w:szCs w:val="24"/>
        </w:rPr>
        <w:t xml:space="preserve"> установлен объем межбюджетных трансфертов, предоставляемых другим бюджетам бюджетной системы Российской Федерации в сумме 17206887,5 тыс. рублей.</w:t>
      </w:r>
    </w:p>
    <w:p w:rsidR="004C2E5E" w:rsidRDefault="004C2E5E" w:rsidP="004C2E5E">
      <w:pPr>
        <w:tabs>
          <w:tab w:val="left" w:pos="9656"/>
        </w:tabs>
        <w:spacing w:after="0" w:line="240" w:lineRule="auto"/>
        <w:ind w:firstLine="709"/>
        <w:jc w:val="both"/>
        <w:rPr>
          <w:rFonts w:ascii="Times New Roman" w:hAnsi="Times New Roman"/>
          <w:sz w:val="24"/>
          <w:szCs w:val="24"/>
        </w:rPr>
      </w:pPr>
      <w:r w:rsidRPr="00746145">
        <w:rPr>
          <w:rFonts w:ascii="Times New Roman" w:hAnsi="Times New Roman"/>
          <w:sz w:val="24"/>
          <w:szCs w:val="24"/>
        </w:rPr>
        <w:t xml:space="preserve">Ведомственной структурой расходов областного бюджета </w:t>
      </w:r>
      <w:r>
        <w:rPr>
          <w:rFonts w:ascii="Times New Roman" w:hAnsi="Times New Roman"/>
          <w:sz w:val="24"/>
          <w:szCs w:val="24"/>
        </w:rPr>
        <w:t>данная сумма</w:t>
      </w:r>
      <w:r w:rsidRPr="00746145">
        <w:rPr>
          <w:rFonts w:ascii="Times New Roman" w:hAnsi="Times New Roman"/>
          <w:sz w:val="24"/>
          <w:szCs w:val="24"/>
        </w:rPr>
        <w:t xml:space="preserve"> межбюджетных трансфертов </w:t>
      </w:r>
      <w:r>
        <w:rPr>
          <w:rFonts w:ascii="Times New Roman" w:hAnsi="Times New Roman"/>
          <w:sz w:val="24"/>
          <w:szCs w:val="24"/>
        </w:rPr>
        <w:t xml:space="preserve">распределена </w:t>
      </w:r>
      <w:r w:rsidRPr="00746145">
        <w:rPr>
          <w:rFonts w:ascii="Times New Roman" w:hAnsi="Times New Roman"/>
          <w:sz w:val="24"/>
          <w:szCs w:val="24"/>
        </w:rPr>
        <w:t>по главным распорядителям средств областного бюджета, ц</w:t>
      </w:r>
      <w:r>
        <w:rPr>
          <w:rFonts w:ascii="Times New Roman" w:hAnsi="Times New Roman"/>
          <w:sz w:val="24"/>
          <w:szCs w:val="24"/>
        </w:rPr>
        <w:t>елевым статьям и видам расходов, в том числе министерству здравоохранения Амурской области предусмотрены м</w:t>
      </w:r>
      <w:r w:rsidRPr="00076AA4">
        <w:rPr>
          <w:rFonts w:ascii="Times New Roman" w:hAnsi="Times New Roman"/>
          <w:sz w:val="24"/>
          <w:szCs w:val="24"/>
        </w:rPr>
        <w:t>ежбюджетные трансферты бюджетам фондов обязательного медицинского страхования</w:t>
      </w:r>
      <w:r>
        <w:rPr>
          <w:rFonts w:ascii="Times New Roman" w:hAnsi="Times New Roman"/>
          <w:sz w:val="24"/>
          <w:szCs w:val="24"/>
        </w:rPr>
        <w:t xml:space="preserve"> в сумме 4882612,0 тыс. рублей.</w:t>
      </w:r>
    </w:p>
    <w:p w:rsidR="00083EE0" w:rsidRDefault="00083EE0" w:rsidP="004C2E5E">
      <w:pPr>
        <w:tabs>
          <w:tab w:val="left" w:pos="9656"/>
        </w:tabs>
        <w:spacing w:after="0" w:line="240" w:lineRule="auto"/>
        <w:ind w:firstLine="709"/>
        <w:jc w:val="both"/>
        <w:rPr>
          <w:rFonts w:ascii="Times New Roman" w:hAnsi="Times New Roman"/>
          <w:sz w:val="24"/>
          <w:szCs w:val="24"/>
        </w:rPr>
      </w:pPr>
    </w:p>
    <w:p w:rsidR="004C2E5E" w:rsidRPr="00746145" w:rsidRDefault="004C2E5E" w:rsidP="004C2E5E">
      <w:pPr>
        <w:tabs>
          <w:tab w:val="left" w:pos="9656"/>
        </w:tabs>
        <w:spacing w:after="0" w:line="240" w:lineRule="auto"/>
        <w:ind w:firstLine="709"/>
        <w:jc w:val="both"/>
        <w:rPr>
          <w:rFonts w:ascii="Times New Roman" w:hAnsi="Times New Roman"/>
          <w:sz w:val="24"/>
          <w:szCs w:val="24"/>
        </w:rPr>
      </w:pPr>
      <w:r w:rsidRPr="00746145">
        <w:rPr>
          <w:rFonts w:ascii="Times New Roman" w:hAnsi="Times New Roman"/>
          <w:sz w:val="24"/>
          <w:szCs w:val="24"/>
        </w:rPr>
        <w:t xml:space="preserve">Объем расходов областного бюджета (без учета межбюджетных трансфертов) на </w:t>
      </w:r>
      <w:r w:rsidRPr="00746145">
        <w:rPr>
          <w:rFonts w:ascii="Times New Roman" w:hAnsi="Times New Roman"/>
          <w:sz w:val="24"/>
          <w:szCs w:val="24"/>
        </w:rPr>
        <w:br/>
        <w:t>2015 год составляет 59,4 процента утвержденного объема расходов 2014 года (без учета межбюджетных трансфертов). Данное уменьшение, в большей степени, объясняется отсутствием плановых показателей по расходам, планируемым за счет межбюджетных трансфертов из федерального бюджета, а также в связи с увеличением расходов областного бюджета на 2014 год, связанным с финансированием мероприятий по ликвидации последствий крупномасштабного наводнения.</w:t>
      </w:r>
    </w:p>
    <w:p w:rsidR="00083EE0" w:rsidRDefault="00083EE0" w:rsidP="004C2E5E">
      <w:pPr>
        <w:spacing w:after="0" w:line="240" w:lineRule="auto"/>
        <w:ind w:firstLine="709"/>
        <w:jc w:val="both"/>
        <w:rPr>
          <w:rFonts w:ascii="Times New Roman" w:hAnsi="Times New Roman"/>
          <w:sz w:val="24"/>
          <w:szCs w:val="24"/>
        </w:rPr>
      </w:pPr>
    </w:p>
    <w:p w:rsidR="004C2E5E" w:rsidRPr="006E0524" w:rsidRDefault="004C2E5E" w:rsidP="004C2E5E">
      <w:pPr>
        <w:spacing w:after="0" w:line="240" w:lineRule="auto"/>
        <w:ind w:firstLine="709"/>
        <w:jc w:val="both"/>
        <w:rPr>
          <w:rFonts w:ascii="Times New Roman" w:hAnsi="Times New Roman"/>
          <w:sz w:val="24"/>
          <w:szCs w:val="24"/>
        </w:rPr>
      </w:pPr>
      <w:r w:rsidRPr="006E0524">
        <w:rPr>
          <w:rFonts w:ascii="Times New Roman" w:hAnsi="Times New Roman"/>
          <w:sz w:val="24"/>
          <w:szCs w:val="24"/>
        </w:rPr>
        <w:t xml:space="preserve">В структуре общего объема расходов областного бюджета доля межбюджетных трансфертов, предоставляемых бюджетам других уровней, на 2015 год выше аналогичного показателя 2014 года на 10,1 процентных пункта. </w:t>
      </w:r>
      <w:r>
        <w:rPr>
          <w:rFonts w:ascii="Times New Roman" w:hAnsi="Times New Roman"/>
          <w:sz w:val="24"/>
          <w:szCs w:val="24"/>
        </w:rPr>
        <w:t>В</w:t>
      </w:r>
      <w:r w:rsidRPr="006E0524">
        <w:rPr>
          <w:rFonts w:ascii="Times New Roman" w:hAnsi="Times New Roman"/>
          <w:sz w:val="24"/>
          <w:szCs w:val="24"/>
        </w:rPr>
        <w:t xml:space="preserve"> планов</w:t>
      </w:r>
      <w:r>
        <w:rPr>
          <w:rFonts w:ascii="Times New Roman" w:hAnsi="Times New Roman"/>
          <w:sz w:val="24"/>
          <w:szCs w:val="24"/>
        </w:rPr>
        <w:t>ом</w:t>
      </w:r>
      <w:r w:rsidRPr="006E0524">
        <w:rPr>
          <w:rFonts w:ascii="Times New Roman" w:hAnsi="Times New Roman"/>
          <w:sz w:val="24"/>
          <w:szCs w:val="24"/>
        </w:rPr>
        <w:t xml:space="preserve"> период</w:t>
      </w:r>
      <w:r>
        <w:rPr>
          <w:rFonts w:ascii="Times New Roman" w:hAnsi="Times New Roman"/>
          <w:sz w:val="24"/>
          <w:szCs w:val="24"/>
        </w:rPr>
        <w:t>е</w:t>
      </w:r>
      <w:r w:rsidRPr="006E0524">
        <w:rPr>
          <w:rFonts w:ascii="Times New Roman" w:hAnsi="Times New Roman"/>
          <w:sz w:val="24"/>
          <w:szCs w:val="24"/>
        </w:rPr>
        <w:t xml:space="preserve"> </w:t>
      </w:r>
      <w:r>
        <w:rPr>
          <w:rFonts w:ascii="Times New Roman" w:hAnsi="Times New Roman"/>
          <w:sz w:val="24"/>
          <w:szCs w:val="24"/>
        </w:rPr>
        <w:br/>
      </w:r>
      <w:r w:rsidRPr="006E0524">
        <w:rPr>
          <w:rFonts w:ascii="Times New Roman" w:hAnsi="Times New Roman"/>
          <w:sz w:val="24"/>
          <w:szCs w:val="24"/>
        </w:rPr>
        <w:t xml:space="preserve">2016 и 2017 годов также наблюдается рост доли межбюджетных трансфертов в общем объеме расходов областного бюджета – </w:t>
      </w:r>
      <w:r w:rsidR="00DC3353">
        <w:rPr>
          <w:rFonts w:ascii="Times New Roman" w:hAnsi="Times New Roman"/>
          <w:sz w:val="24"/>
          <w:szCs w:val="24"/>
        </w:rPr>
        <w:t xml:space="preserve">на </w:t>
      </w:r>
      <w:r w:rsidRPr="006E0524">
        <w:rPr>
          <w:rFonts w:ascii="Times New Roman" w:hAnsi="Times New Roman"/>
          <w:sz w:val="24"/>
          <w:szCs w:val="24"/>
        </w:rPr>
        <w:t>0,6 процента и 8,1 процента, соответственно.</w:t>
      </w:r>
    </w:p>
    <w:p w:rsidR="004C2E5E" w:rsidRPr="006E0524" w:rsidRDefault="004C2E5E" w:rsidP="00083EE0">
      <w:pPr>
        <w:spacing w:after="0" w:line="360" w:lineRule="auto"/>
        <w:ind w:firstLine="709"/>
        <w:jc w:val="both"/>
        <w:rPr>
          <w:rFonts w:ascii="Times New Roman" w:hAnsi="Times New Roman"/>
          <w:sz w:val="24"/>
          <w:szCs w:val="24"/>
        </w:rPr>
      </w:pPr>
      <w:r w:rsidRPr="006E0524">
        <w:rPr>
          <w:rFonts w:ascii="Times New Roman" w:hAnsi="Times New Roman"/>
          <w:sz w:val="24"/>
          <w:szCs w:val="24"/>
        </w:rPr>
        <w:t xml:space="preserve">Несмотря на то, что доля межбюджетных трансфертов в общем объеме расходов областного бюджета </w:t>
      </w:r>
      <w:r>
        <w:rPr>
          <w:rFonts w:ascii="Times New Roman" w:hAnsi="Times New Roman"/>
          <w:sz w:val="24"/>
          <w:szCs w:val="24"/>
        </w:rPr>
        <w:t xml:space="preserve">спроектирована с </w:t>
      </w:r>
      <w:r w:rsidRPr="006E0524">
        <w:rPr>
          <w:rFonts w:ascii="Times New Roman" w:hAnsi="Times New Roman"/>
          <w:sz w:val="24"/>
          <w:szCs w:val="24"/>
        </w:rPr>
        <w:t>ежегодн</w:t>
      </w:r>
      <w:r>
        <w:rPr>
          <w:rFonts w:ascii="Times New Roman" w:hAnsi="Times New Roman"/>
          <w:sz w:val="24"/>
          <w:szCs w:val="24"/>
        </w:rPr>
        <w:t>ым</w:t>
      </w:r>
      <w:r w:rsidRPr="006E0524">
        <w:rPr>
          <w:rFonts w:ascii="Times New Roman" w:hAnsi="Times New Roman"/>
          <w:sz w:val="24"/>
          <w:szCs w:val="24"/>
        </w:rPr>
        <w:t xml:space="preserve"> увелич</w:t>
      </w:r>
      <w:r>
        <w:rPr>
          <w:rFonts w:ascii="Times New Roman" w:hAnsi="Times New Roman"/>
          <w:sz w:val="24"/>
          <w:szCs w:val="24"/>
        </w:rPr>
        <w:t>ением</w:t>
      </w:r>
      <w:r w:rsidRPr="006E0524">
        <w:rPr>
          <w:rFonts w:ascii="Times New Roman" w:hAnsi="Times New Roman"/>
          <w:sz w:val="24"/>
          <w:szCs w:val="24"/>
        </w:rPr>
        <w:t>, в суммовом выражении наблюдается снижение объема межбюджетных трансфертов местным бюджетам:</w:t>
      </w:r>
    </w:p>
    <w:p w:rsidR="004C2E5E" w:rsidRPr="0077212D" w:rsidRDefault="004C2E5E" w:rsidP="00083EE0">
      <w:pPr>
        <w:pStyle w:val="ad"/>
        <w:numPr>
          <w:ilvl w:val="0"/>
          <w:numId w:val="30"/>
        </w:numPr>
        <w:spacing w:after="0" w:line="360" w:lineRule="auto"/>
        <w:ind w:hanging="357"/>
        <w:jc w:val="both"/>
        <w:rPr>
          <w:rFonts w:ascii="Times New Roman" w:hAnsi="Times New Roman"/>
          <w:sz w:val="24"/>
          <w:szCs w:val="24"/>
        </w:rPr>
      </w:pPr>
      <w:r w:rsidRPr="0077212D">
        <w:rPr>
          <w:rFonts w:ascii="Times New Roman" w:hAnsi="Times New Roman"/>
          <w:sz w:val="24"/>
          <w:szCs w:val="24"/>
        </w:rPr>
        <w:t>в 2015 году к 2014 году на 1916009,0 тыс. рублей;</w:t>
      </w:r>
    </w:p>
    <w:p w:rsidR="004C2E5E" w:rsidRPr="0077212D" w:rsidRDefault="004C2E5E" w:rsidP="00083EE0">
      <w:pPr>
        <w:pStyle w:val="ad"/>
        <w:numPr>
          <w:ilvl w:val="0"/>
          <w:numId w:val="30"/>
        </w:numPr>
        <w:spacing w:after="0" w:line="360" w:lineRule="auto"/>
        <w:ind w:hanging="357"/>
        <w:jc w:val="both"/>
        <w:rPr>
          <w:rFonts w:ascii="Times New Roman" w:hAnsi="Times New Roman"/>
          <w:sz w:val="24"/>
          <w:szCs w:val="24"/>
        </w:rPr>
      </w:pPr>
      <w:r w:rsidRPr="0077212D">
        <w:rPr>
          <w:rFonts w:ascii="Times New Roman" w:hAnsi="Times New Roman"/>
          <w:sz w:val="24"/>
          <w:szCs w:val="24"/>
        </w:rPr>
        <w:t>в 2016 году к 2015 году на 573276,8 тыс. рублей;</w:t>
      </w:r>
    </w:p>
    <w:p w:rsidR="004C2E5E" w:rsidRPr="0077212D" w:rsidRDefault="004C2E5E" w:rsidP="00083EE0">
      <w:pPr>
        <w:pStyle w:val="ad"/>
        <w:numPr>
          <w:ilvl w:val="0"/>
          <w:numId w:val="30"/>
        </w:numPr>
        <w:spacing w:after="0" w:line="360" w:lineRule="auto"/>
        <w:ind w:hanging="357"/>
        <w:jc w:val="both"/>
        <w:rPr>
          <w:rFonts w:ascii="Times New Roman" w:hAnsi="Times New Roman"/>
          <w:sz w:val="24"/>
          <w:szCs w:val="24"/>
        </w:rPr>
      </w:pPr>
      <w:r w:rsidRPr="0077212D">
        <w:rPr>
          <w:rFonts w:ascii="Times New Roman" w:hAnsi="Times New Roman"/>
          <w:sz w:val="24"/>
          <w:szCs w:val="24"/>
        </w:rPr>
        <w:t>в 2017 году к 2016 году на 949851,3 тыс. рублей.</w:t>
      </w:r>
    </w:p>
    <w:p w:rsidR="004C2E5E" w:rsidRPr="006E0524"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Расходы областного бюджета без учета межбюджетных трансфертов местным бюджетам на 2015 год и плановый период 2016 и 2017 годов также спроектированы со снижением к предыдущему периоду.</w:t>
      </w:r>
    </w:p>
    <w:p w:rsidR="004C2E5E" w:rsidRPr="00DC3353" w:rsidRDefault="004C2E5E" w:rsidP="004C2E5E">
      <w:pPr>
        <w:tabs>
          <w:tab w:val="left" w:pos="9656"/>
        </w:tabs>
        <w:spacing w:after="0" w:line="240" w:lineRule="auto"/>
        <w:ind w:firstLine="709"/>
        <w:jc w:val="both"/>
        <w:rPr>
          <w:rFonts w:ascii="Times New Roman" w:hAnsi="Times New Roman"/>
          <w:sz w:val="24"/>
          <w:szCs w:val="24"/>
        </w:rPr>
      </w:pPr>
      <w:r w:rsidRPr="006E0524">
        <w:rPr>
          <w:rFonts w:ascii="Times New Roman" w:hAnsi="Times New Roman"/>
          <w:sz w:val="24"/>
          <w:szCs w:val="24"/>
        </w:rPr>
        <w:t xml:space="preserve">В </w:t>
      </w:r>
      <w:r w:rsidRPr="00DC3353">
        <w:rPr>
          <w:rFonts w:ascii="Times New Roman" w:hAnsi="Times New Roman"/>
          <w:sz w:val="24"/>
          <w:szCs w:val="24"/>
        </w:rPr>
        <w:t xml:space="preserve">таблице </w:t>
      </w:r>
      <w:r w:rsidR="00DC3353" w:rsidRPr="00DC3353">
        <w:rPr>
          <w:rFonts w:ascii="Times New Roman" w:hAnsi="Times New Roman"/>
          <w:sz w:val="24"/>
          <w:szCs w:val="24"/>
        </w:rPr>
        <w:t>2</w:t>
      </w:r>
      <w:r w:rsidRPr="00DC3353">
        <w:rPr>
          <w:rFonts w:ascii="Times New Roman" w:hAnsi="Times New Roman"/>
          <w:sz w:val="24"/>
          <w:szCs w:val="24"/>
        </w:rPr>
        <w:t xml:space="preserve"> представлена информация об объемах расходов областного бюджета на 2015 год и плановый период 2016 и 2017 годов.</w:t>
      </w:r>
    </w:p>
    <w:p w:rsidR="000E7090" w:rsidRDefault="000E7090" w:rsidP="004C2E5E">
      <w:pPr>
        <w:tabs>
          <w:tab w:val="left" w:pos="9656"/>
        </w:tabs>
        <w:spacing w:after="0" w:line="240" w:lineRule="auto"/>
        <w:jc w:val="right"/>
        <w:rPr>
          <w:rFonts w:ascii="Times New Roman" w:hAnsi="Times New Roman"/>
          <w:sz w:val="24"/>
          <w:szCs w:val="24"/>
        </w:rPr>
      </w:pPr>
    </w:p>
    <w:p w:rsidR="004C2E5E" w:rsidRDefault="004C2E5E" w:rsidP="004C2E5E">
      <w:pPr>
        <w:tabs>
          <w:tab w:val="left" w:pos="9656"/>
        </w:tabs>
        <w:spacing w:after="0" w:line="240" w:lineRule="auto"/>
        <w:jc w:val="right"/>
        <w:rPr>
          <w:rFonts w:ascii="Times New Roman" w:hAnsi="Times New Roman"/>
          <w:sz w:val="24"/>
          <w:szCs w:val="24"/>
        </w:rPr>
      </w:pPr>
      <w:r w:rsidRPr="00DC3353">
        <w:rPr>
          <w:rFonts w:ascii="Times New Roman" w:hAnsi="Times New Roman"/>
          <w:sz w:val="24"/>
          <w:szCs w:val="24"/>
        </w:rPr>
        <w:lastRenderedPageBreak/>
        <w:t>Таблица</w:t>
      </w:r>
      <w:r w:rsidR="00DC3353">
        <w:rPr>
          <w:rFonts w:ascii="Times New Roman" w:hAnsi="Times New Roman"/>
          <w:sz w:val="24"/>
          <w:szCs w:val="24"/>
        </w:rPr>
        <w:t xml:space="preserve"> 2</w:t>
      </w:r>
    </w:p>
    <w:p w:rsidR="004C2E5E" w:rsidRPr="000D4007" w:rsidRDefault="004C2E5E" w:rsidP="004C2E5E">
      <w:pPr>
        <w:tabs>
          <w:tab w:val="left" w:pos="9656"/>
        </w:tabs>
        <w:spacing w:after="0" w:line="240" w:lineRule="auto"/>
        <w:jc w:val="right"/>
        <w:rPr>
          <w:rFonts w:ascii="Times New Roman" w:hAnsi="Times New Roman"/>
          <w:sz w:val="24"/>
          <w:szCs w:val="24"/>
        </w:rPr>
      </w:pPr>
    </w:p>
    <w:p w:rsidR="004C2E5E" w:rsidRPr="000D4007" w:rsidRDefault="004C2E5E" w:rsidP="004C2E5E">
      <w:pPr>
        <w:tabs>
          <w:tab w:val="left" w:pos="9656"/>
        </w:tabs>
        <w:spacing w:after="0" w:line="240" w:lineRule="auto"/>
        <w:jc w:val="center"/>
        <w:rPr>
          <w:rFonts w:ascii="Times New Roman" w:hAnsi="Times New Roman"/>
          <w:b/>
          <w:sz w:val="24"/>
          <w:szCs w:val="24"/>
        </w:rPr>
      </w:pPr>
      <w:r w:rsidRPr="000D4007">
        <w:rPr>
          <w:rFonts w:ascii="Times New Roman" w:hAnsi="Times New Roman"/>
          <w:b/>
          <w:sz w:val="24"/>
          <w:szCs w:val="24"/>
        </w:rPr>
        <w:t xml:space="preserve">Динамика расходов областного бюджета на 2015 год и плановый </w:t>
      </w:r>
    </w:p>
    <w:p w:rsidR="004C2E5E" w:rsidRPr="000D4007" w:rsidRDefault="004C2E5E" w:rsidP="004C2E5E">
      <w:pPr>
        <w:tabs>
          <w:tab w:val="left" w:pos="9656"/>
        </w:tabs>
        <w:spacing w:after="0" w:line="240" w:lineRule="auto"/>
        <w:jc w:val="center"/>
        <w:rPr>
          <w:rFonts w:ascii="Times New Roman" w:hAnsi="Times New Roman"/>
          <w:b/>
          <w:sz w:val="24"/>
          <w:szCs w:val="24"/>
        </w:rPr>
      </w:pPr>
      <w:r w:rsidRPr="000D4007">
        <w:rPr>
          <w:rFonts w:ascii="Times New Roman" w:hAnsi="Times New Roman"/>
          <w:b/>
          <w:sz w:val="24"/>
          <w:szCs w:val="24"/>
        </w:rPr>
        <w:t>период 2016 и 2017 годов</w:t>
      </w:r>
    </w:p>
    <w:tbl>
      <w:tblPr>
        <w:tblW w:w="9592" w:type="dxa"/>
        <w:tblInd w:w="93" w:type="dxa"/>
        <w:tblLook w:val="04A0" w:firstRow="1" w:lastRow="0" w:firstColumn="1" w:lastColumn="0" w:noHBand="0" w:noVBand="1"/>
      </w:tblPr>
      <w:tblGrid>
        <w:gridCol w:w="3026"/>
        <w:gridCol w:w="1514"/>
        <w:gridCol w:w="1712"/>
        <w:gridCol w:w="1701"/>
        <w:gridCol w:w="1639"/>
      </w:tblGrid>
      <w:tr w:rsidR="004C2E5E" w:rsidRPr="00746145" w:rsidTr="004C2E5E">
        <w:trPr>
          <w:trHeight w:val="315"/>
        </w:trPr>
        <w:tc>
          <w:tcPr>
            <w:tcW w:w="30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center"/>
              <w:rPr>
                <w:rFonts w:ascii="Times New Roman" w:hAnsi="Times New Roman"/>
                <w:color w:val="000000"/>
                <w:sz w:val="24"/>
                <w:szCs w:val="24"/>
              </w:rPr>
            </w:pPr>
            <w:r w:rsidRPr="00746145">
              <w:rPr>
                <w:rFonts w:ascii="Times New Roman" w:hAnsi="Times New Roman"/>
                <w:color w:val="000000"/>
                <w:sz w:val="24"/>
                <w:szCs w:val="24"/>
              </w:rPr>
              <w:t> </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center"/>
              <w:rPr>
                <w:rFonts w:ascii="Times New Roman" w:hAnsi="Times New Roman"/>
                <w:color w:val="000000"/>
                <w:sz w:val="24"/>
                <w:szCs w:val="24"/>
              </w:rPr>
            </w:pPr>
            <w:r w:rsidRPr="00746145">
              <w:rPr>
                <w:rFonts w:ascii="Times New Roman" w:hAnsi="Times New Roman"/>
                <w:color w:val="000000"/>
                <w:sz w:val="24"/>
                <w:szCs w:val="24"/>
              </w:rPr>
              <w:t>Уточненный план на 2014 год</w:t>
            </w:r>
            <w:r>
              <w:rPr>
                <w:rFonts w:ascii="Times New Roman" w:hAnsi="Times New Roman"/>
                <w:color w:val="000000"/>
                <w:sz w:val="24"/>
                <w:szCs w:val="24"/>
              </w:rPr>
              <w:t>*</w:t>
            </w:r>
          </w:p>
        </w:tc>
        <w:tc>
          <w:tcPr>
            <w:tcW w:w="5052" w:type="dxa"/>
            <w:gridSpan w:val="3"/>
            <w:tcBorders>
              <w:top w:val="single" w:sz="4" w:space="0" w:color="auto"/>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center"/>
              <w:rPr>
                <w:rFonts w:ascii="Times New Roman" w:hAnsi="Times New Roman"/>
                <w:color w:val="000000"/>
                <w:sz w:val="24"/>
                <w:szCs w:val="24"/>
              </w:rPr>
            </w:pPr>
            <w:r w:rsidRPr="00746145">
              <w:rPr>
                <w:rFonts w:ascii="Times New Roman" w:hAnsi="Times New Roman"/>
                <w:color w:val="000000"/>
                <w:sz w:val="24"/>
                <w:szCs w:val="24"/>
              </w:rPr>
              <w:t>Проект</w:t>
            </w:r>
          </w:p>
        </w:tc>
      </w:tr>
      <w:tr w:rsidR="004C2E5E" w:rsidRPr="00746145" w:rsidTr="004C2E5E">
        <w:trPr>
          <w:trHeight w:val="795"/>
        </w:trPr>
        <w:tc>
          <w:tcPr>
            <w:tcW w:w="3026" w:type="dxa"/>
            <w:vMerge/>
            <w:tcBorders>
              <w:top w:val="single" w:sz="4" w:space="0" w:color="auto"/>
              <w:left w:val="single" w:sz="4" w:space="0" w:color="auto"/>
              <w:bottom w:val="single" w:sz="4" w:space="0" w:color="auto"/>
              <w:right w:val="single" w:sz="4" w:space="0" w:color="auto"/>
            </w:tcBorders>
            <w:vAlign w:val="center"/>
            <w:hideMark/>
          </w:tcPr>
          <w:p w:rsidR="004C2E5E" w:rsidRPr="00746145" w:rsidRDefault="004C2E5E" w:rsidP="004C2E5E">
            <w:pPr>
              <w:spacing w:after="0" w:line="240" w:lineRule="auto"/>
              <w:rPr>
                <w:rFonts w:ascii="Times New Roman" w:hAnsi="Times New Roman"/>
                <w:color w:val="000000"/>
                <w:sz w:val="24"/>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4C2E5E" w:rsidRPr="00746145" w:rsidRDefault="004C2E5E" w:rsidP="004C2E5E">
            <w:pPr>
              <w:spacing w:after="0" w:line="240" w:lineRule="auto"/>
              <w:rPr>
                <w:rFonts w:ascii="Times New Roman" w:hAnsi="Times New Roman"/>
                <w:color w:val="000000"/>
                <w:sz w:val="24"/>
                <w:szCs w:val="24"/>
              </w:rPr>
            </w:pP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2015 год </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2016 год</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2017 год</w:t>
            </w:r>
          </w:p>
        </w:tc>
      </w:tr>
      <w:tr w:rsidR="004C2E5E" w:rsidRPr="00746145" w:rsidTr="004C2E5E">
        <w:trPr>
          <w:trHeight w:val="630"/>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ind w:left="333" w:hanging="284"/>
              <w:rPr>
                <w:rFonts w:ascii="Times New Roman" w:hAnsi="Times New Roman"/>
                <w:color w:val="000000"/>
                <w:sz w:val="24"/>
                <w:szCs w:val="24"/>
              </w:rPr>
            </w:pPr>
            <w:r>
              <w:rPr>
                <w:rFonts w:ascii="Times New Roman" w:hAnsi="Times New Roman"/>
                <w:color w:val="000000"/>
                <w:sz w:val="24"/>
                <w:szCs w:val="24"/>
              </w:rPr>
              <w:t xml:space="preserve">1. </w:t>
            </w:r>
            <w:r w:rsidRPr="00746145">
              <w:rPr>
                <w:rFonts w:ascii="Times New Roman" w:hAnsi="Times New Roman"/>
                <w:color w:val="000000"/>
                <w:sz w:val="24"/>
                <w:szCs w:val="24"/>
              </w:rPr>
              <w:t>Общий объем расходов бюджета,</w:t>
            </w:r>
          </w:p>
        </w:tc>
        <w:tc>
          <w:tcPr>
            <w:tcW w:w="1514" w:type="dxa"/>
            <w:tcBorders>
              <w:top w:val="nil"/>
              <w:left w:val="nil"/>
              <w:bottom w:val="single" w:sz="4" w:space="0" w:color="auto"/>
              <w:right w:val="single" w:sz="4" w:space="0" w:color="auto"/>
            </w:tcBorders>
            <w:shd w:val="clear" w:color="auto" w:fill="auto"/>
            <w:noWrap/>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50515640,1</w:t>
            </w:r>
          </w:p>
        </w:tc>
        <w:tc>
          <w:tcPr>
            <w:tcW w:w="1712" w:type="dxa"/>
            <w:tcBorders>
              <w:top w:val="nil"/>
              <w:left w:val="nil"/>
              <w:bottom w:val="single" w:sz="4" w:space="0" w:color="auto"/>
              <w:right w:val="single" w:sz="4" w:space="0" w:color="auto"/>
            </w:tcBorders>
            <w:shd w:val="clear" w:color="auto" w:fill="auto"/>
            <w:noWrap/>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35848558,8</w:t>
            </w:r>
          </w:p>
        </w:tc>
        <w:tc>
          <w:tcPr>
            <w:tcW w:w="1701" w:type="dxa"/>
            <w:tcBorders>
              <w:top w:val="nil"/>
              <w:left w:val="nil"/>
              <w:bottom w:val="single" w:sz="4" w:space="0" w:color="auto"/>
              <w:right w:val="single" w:sz="4" w:space="0" w:color="auto"/>
            </w:tcBorders>
            <w:shd w:val="clear" w:color="auto" w:fill="auto"/>
            <w:noWrap/>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34190645,4</w:t>
            </w:r>
          </w:p>
        </w:tc>
        <w:tc>
          <w:tcPr>
            <w:tcW w:w="1639" w:type="dxa"/>
            <w:tcBorders>
              <w:top w:val="nil"/>
              <w:left w:val="nil"/>
              <w:bottom w:val="single" w:sz="4" w:space="0" w:color="auto"/>
              <w:right w:val="single" w:sz="4" w:space="0" w:color="auto"/>
            </w:tcBorders>
            <w:shd w:val="clear" w:color="auto" w:fill="auto"/>
            <w:noWrap/>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27644495,2</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к предыдущему году:</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тыс. рублей</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х</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-14667081,3</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-1657913,4</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-6546150,2</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в %</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х</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71,0</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95,4</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80,9</w:t>
            </w:r>
          </w:p>
        </w:tc>
      </w:tr>
      <w:tr w:rsidR="004C2E5E" w:rsidRPr="00746145" w:rsidTr="004C2E5E">
        <w:trPr>
          <w:trHeight w:val="630"/>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ind w:left="333" w:hanging="333"/>
              <w:rPr>
                <w:rFonts w:ascii="Times New Roman" w:hAnsi="Times New Roman"/>
                <w:color w:val="000000"/>
                <w:sz w:val="24"/>
                <w:szCs w:val="24"/>
              </w:rPr>
            </w:pPr>
            <w:r>
              <w:rPr>
                <w:rFonts w:ascii="Times New Roman" w:hAnsi="Times New Roman"/>
                <w:color w:val="000000"/>
                <w:sz w:val="24"/>
                <w:szCs w:val="24"/>
              </w:rPr>
              <w:t>2. Объем расходов б</w:t>
            </w:r>
            <w:r w:rsidRPr="00746145">
              <w:rPr>
                <w:rFonts w:ascii="Times New Roman" w:hAnsi="Times New Roman"/>
                <w:color w:val="000000"/>
                <w:sz w:val="24"/>
                <w:szCs w:val="24"/>
              </w:rPr>
              <w:t>ез учета межбюджетных трансфертов,</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31392743,6</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18641671,3</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17557034,7</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11960735,8</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к предыдущему году:</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тыс. рублей</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х</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-12751072,3</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-1084636,6</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-5596298,9</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в %</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х</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59,4</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94,2</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68,1</w:t>
            </w:r>
          </w:p>
        </w:tc>
      </w:tr>
      <w:tr w:rsidR="004C2E5E" w:rsidRPr="00746145" w:rsidTr="004C2E5E">
        <w:trPr>
          <w:trHeight w:val="630"/>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ind w:left="333" w:hanging="333"/>
              <w:rPr>
                <w:rFonts w:ascii="Times New Roman" w:hAnsi="Times New Roman"/>
                <w:color w:val="000000"/>
                <w:sz w:val="24"/>
                <w:szCs w:val="24"/>
              </w:rPr>
            </w:pPr>
            <w:r>
              <w:rPr>
                <w:rFonts w:ascii="Times New Roman" w:hAnsi="Times New Roman"/>
                <w:color w:val="000000"/>
                <w:sz w:val="24"/>
                <w:szCs w:val="24"/>
              </w:rPr>
              <w:t xml:space="preserve">3. </w:t>
            </w:r>
            <w:r w:rsidRPr="00746145">
              <w:rPr>
                <w:rFonts w:ascii="Times New Roman" w:hAnsi="Times New Roman"/>
                <w:color w:val="000000"/>
                <w:sz w:val="24"/>
                <w:szCs w:val="24"/>
              </w:rPr>
              <w:t>Межбюджетные трансферты,</w:t>
            </w:r>
          </w:p>
        </w:tc>
        <w:tc>
          <w:tcPr>
            <w:tcW w:w="1514" w:type="dxa"/>
            <w:tcBorders>
              <w:top w:val="nil"/>
              <w:left w:val="nil"/>
              <w:bottom w:val="nil"/>
              <w:right w:val="nil"/>
            </w:tcBorders>
            <w:shd w:val="clear" w:color="auto" w:fill="auto"/>
            <w:noWrap/>
            <w:vAlign w:val="bottom"/>
            <w:hideMark/>
          </w:tcPr>
          <w:p w:rsidR="004C2E5E" w:rsidRPr="00746145" w:rsidRDefault="004C2E5E" w:rsidP="004C2E5E">
            <w:pPr>
              <w:spacing w:after="0" w:line="240" w:lineRule="auto"/>
              <w:jc w:val="right"/>
              <w:rPr>
                <w:rFonts w:ascii="Times New Roman" w:hAnsi="Times New Roman"/>
                <w:sz w:val="24"/>
                <w:szCs w:val="24"/>
              </w:rPr>
            </w:pPr>
            <w:r w:rsidRPr="00746145">
              <w:rPr>
                <w:rFonts w:ascii="Times New Roman" w:hAnsi="Times New Roman"/>
                <w:sz w:val="24"/>
                <w:szCs w:val="24"/>
              </w:rPr>
              <w:t>19122896,5</w:t>
            </w:r>
          </w:p>
        </w:tc>
        <w:tc>
          <w:tcPr>
            <w:tcW w:w="1712"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17206887,5</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16633610,7</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15683759,4</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к предыдущему году:</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 </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тыс. рублей</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х</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-1916009,0</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-573276,8</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-949851,3</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в %</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х</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90,0</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96,7</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94,3</w:t>
            </w:r>
          </w:p>
        </w:tc>
      </w:tr>
      <w:tr w:rsidR="004C2E5E" w:rsidRPr="00746145" w:rsidTr="004C2E5E">
        <w:trPr>
          <w:trHeight w:val="315"/>
        </w:trPr>
        <w:tc>
          <w:tcPr>
            <w:tcW w:w="3026" w:type="dxa"/>
            <w:tcBorders>
              <w:top w:val="nil"/>
              <w:left w:val="single" w:sz="4" w:space="0" w:color="auto"/>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rPr>
                <w:rFonts w:ascii="Times New Roman" w:hAnsi="Times New Roman"/>
                <w:color w:val="000000"/>
                <w:sz w:val="24"/>
                <w:szCs w:val="24"/>
              </w:rPr>
            </w:pPr>
            <w:r w:rsidRPr="00746145">
              <w:rPr>
                <w:rFonts w:ascii="Times New Roman" w:hAnsi="Times New Roman"/>
                <w:color w:val="000000"/>
                <w:sz w:val="24"/>
                <w:szCs w:val="24"/>
              </w:rPr>
              <w:t>доля в общем объеме, %</w:t>
            </w:r>
          </w:p>
        </w:tc>
        <w:tc>
          <w:tcPr>
            <w:tcW w:w="1514"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37,9</w:t>
            </w:r>
          </w:p>
        </w:tc>
        <w:tc>
          <w:tcPr>
            <w:tcW w:w="1712"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48,0</w:t>
            </w:r>
          </w:p>
        </w:tc>
        <w:tc>
          <w:tcPr>
            <w:tcW w:w="1701"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48,6</w:t>
            </w:r>
          </w:p>
        </w:tc>
        <w:tc>
          <w:tcPr>
            <w:tcW w:w="1639" w:type="dxa"/>
            <w:tcBorders>
              <w:top w:val="nil"/>
              <w:left w:val="nil"/>
              <w:bottom w:val="single" w:sz="4" w:space="0" w:color="auto"/>
              <w:right w:val="single" w:sz="4" w:space="0" w:color="auto"/>
            </w:tcBorders>
            <w:shd w:val="clear" w:color="auto" w:fill="auto"/>
            <w:vAlign w:val="bottom"/>
            <w:hideMark/>
          </w:tcPr>
          <w:p w:rsidR="004C2E5E" w:rsidRPr="00746145" w:rsidRDefault="004C2E5E" w:rsidP="004C2E5E">
            <w:pPr>
              <w:spacing w:after="0" w:line="240" w:lineRule="auto"/>
              <w:jc w:val="right"/>
              <w:rPr>
                <w:rFonts w:ascii="Times New Roman" w:hAnsi="Times New Roman"/>
                <w:color w:val="000000"/>
                <w:sz w:val="24"/>
                <w:szCs w:val="24"/>
              </w:rPr>
            </w:pPr>
            <w:r w:rsidRPr="00746145">
              <w:rPr>
                <w:rFonts w:ascii="Times New Roman" w:hAnsi="Times New Roman"/>
                <w:color w:val="000000"/>
                <w:sz w:val="24"/>
                <w:szCs w:val="24"/>
              </w:rPr>
              <w:t>56,7</w:t>
            </w:r>
          </w:p>
        </w:tc>
      </w:tr>
    </w:tbl>
    <w:p w:rsidR="004C2E5E" w:rsidRDefault="004C2E5E" w:rsidP="004C2E5E">
      <w:pPr>
        <w:spacing w:after="0" w:line="240" w:lineRule="auto"/>
        <w:jc w:val="both"/>
        <w:rPr>
          <w:rFonts w:ascii="Times New Roman" w:hAnsi="Times New Roman"/>
          <w:sz w:val="20"/>
          <w:szCs w:val="20"/>
        </w:rPr>
      </w:pPr>
      <w:r w:rsidRPr="009B06E0">
        <w:rPr>
          <w:rFonts w:ascii="Times New Roman" w:hAnsi="Times New Roman"/>
          <w:sz w:val="20"/>
          <w:szCs w:val="20"/>
        </w:rPr>
        <w:tab/>
        <w:t xml:space="preserve">*Согласно Закону Амурской области «Об областном бюджете на 2014 год и плановый период </w:t>
      </w:r>
      <w:r>
        <w:rPr>
          <w:rFonts w:ascii="Times New Roman" w:hAnsi="Times New Roman"/>
          <w:sz w:val="20"/>
          <w:szCs w:val="20"/>
        </w:rPr>
        <w:br/>
      </w:r>
      <w:r w:rsidRPr="009B06E0">
        <w:rPr>
          <w:rFonts w:ascii="Times New Roman" w:hAnsi="Times New Roman"/>
          <w:sz w:val="20"/>
          <w:szCs w:val="20"/>
        </w:rPr>
        <w:t>2015 и 2016 годов»</w:t>
      </w:r>
      <w:r>
        <w:rPr>
          <w:rFonts w:ascii="Times New Roman" w:hAnsi="Times New Roman"/>
          <w:sz w:val="20"/>
          <w:szCs w:val="20"/>
        </w:rPr>
        <w:t xml:space="preserve"> (в редакции от 23.10.2014)</w:t>
      </w:r>
    </w:p>
    <w:p w:rsidR="004C2E5E" w:rsidRPr="009B06E0" w:rsidRDefault="004C2E5E" w:rsidP="004C2E5E">
      <w:pPr>
        <w:spacing w:after="0" w:line="240" w:lineRule="auto"/>
        <w:jc w:val="both"/>
        <w:rPr>
          <w:rFonts w:ascii="Times New Roman" w:hAnsi="Times New Roman"/>
          <w:sz w:val="20"/>
          <w:szCs w:val="20"/>
        </w:rPr>
      </w:pPr>
    </w:p>
    <w:p w:rsidR="004C2E5E"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межбюджетных трансфертов, предоставляемых местным бюджетам, спроектирован на 2015 год в сумме 12324275,4 тыс. рублей, на 2016 год </w:t>
      </w:r>
      <w:r w:rsidR="0077212D">
        <w:rPr>
          <w:rFonts w:ascii="Times New Roman" w:hAnsi="Times New Roman"/>
          <w:sz w:val="24"/>
          <w:szCs w:val="24"/>
        </w:rPr>
        <w:t>-</w:t>
      </w:r>
      <w:r>
        <w:rPr>
          <w:rFonts w:ascii="Times New Roman" w:hAnsi="Times New Roman"/>
          <w:sz w:val="24"/>
          <w:szCs w:val="24"/>
        </w:rPr>
        <w:t xml:space="preserve"> 11750998,7 тыс. рублей, на 2017 год </w:t>
      </w:r>
      <w:r w:rsidR="0077212D">
        <w:rPr>
          <w:rFonts w:ascii="Times New Roman" w:hAnsi="Times New Roman"/>
          <w:sz w:val="24"/>
          <w:szCs w:val="24"/>
        </w:rPr>
        <w:t>-</w:t>
      </w:r>
      <w:r>
        <w:rPr>
          <w:rFonts w:ascii="Times New Roman" w:hAnsi="Times New Roman"/>
          <w:sz w:val="24"/>
          <w:szCs w:val="24"/>
        </w:rPr>
        <w:t xml:space="preserve"> 10801147,5 тыс. рублей.</w:t>
      </w:r>
    </w:p>
    <w:p w:rsidR="004C2E5E"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структуру </w:t>
      </w:r>
      <w:r w:rsidRPr="00BD1702">
        <w:rPr>
          <w:rFonts w:ascii="Times New Roman" w:hAnsi="Times New Roman"/>
          <w:sz w:val="24"/>
          <w:szCs w:val="24"/>
        </w:rPr>
        <w:t xml:space="preserve">межбюджетных трансфертов, предоставляемых местным бюджетам, </w:t>
      </w:r>
      <w:r>
        <w:rPr>
          <w:rFonts w:ascii="Times New Roman" w:hAnsi="Times New Roman"/>
          <w:sz w:val="24"/>
          <w:szCs w:val="24"/>
        </w:rPr>
        <w:t>входят:</w:t>
      </w:r>
    </w:p>
    <w:p w:rsidR="004C2E5E" w:rsidRPr="005404C7" w:rsidRDefault="004C2E5E" w:rsidP="00DA5F4F">
      <w:pPr>
        <w:pStyle w:val="ad"/>
        <w:numPr>
          <w:ilvl w:val="0"/>
          <w:numId w:val="15"/>
        </w:numPr>
        <w:tabs>
          <w:tab w:val="left" w:pos="1276"/>
        </w:tabs>
        <w:spacing w:after="0" w:line="240" w:lineRule="auto"/>
        <w:ind w:left="357" w:hanging="357"/>
        <w:jc w:val="both"/>
        <w:rPr>
          <w:rFonts w:ascii="Times New Roman" w:hAnsi="Times New Roman"/>
          <w:sz w:val="24"/>
          <w:szCs w:val="24"/>
        </w:rPr>
      </w:pPr>
      <w:r w:rsidRPr="005404C7">
        <w:rPr>
          <w:rFonts w:ascii="Times New Roman" w:hAnsi="Times New Roman"/>
          <w:sz w:val="24"/>
          <w:szCs w:val="24"/>
        </w:rPr>
        <w:t>дотации в сумме</w:t>
      </w:r>
      <w:r>
        <w:rPr>
          <w:rFonts w:ascii="Times New Roman" w:hAnsi="Times New Roman"/>
          <w:sz w:val="24"/>
          <w:szCs w:val="24"/>
        </w:rPr>
        <w:t>:</w:t>
      </w:r>
      <w:r w:rsidRPr="005404C7">
        <w:rPr>
          <w:rFonts w:ascii="Times New Roman" w:hAnsi="Times New Roman"/>
          <w:sz w:val="24"/>
          <w:szCs w:val="24"/>
        </w:rPr>
        <w:t xml:space="preserve"> на 2015 год – 3784861,9 тыс. рублей, на 2016 год – 3846112,6 тыс. рублей, на 2017 год – 3890247,3 тыс. рублей;</w:t>
      </w:r>
    </w:p>
    <w:p w:rsidR="004C2E5E" w:rsidRPr="005404C7" w:rsidRDefault="004C2E5E" w:rsidP="00DA5F4F">
      <w:pPr>
        <w:pStyle w:val="ad"/>
        <w:numPr>
          <w:ilvl w:val="0"/>
          <w:numId w:val="15"/>
        </w:numPr>
        <w:tabs>
          <w:tab w:val="left" w:pos="1276"/>
        </w:tabs>
        <w:spacing w:after="0" w:line="240" w:lineRule="auto"/>
        <w:ind w:left="357" w:hanging="357"/>
        <w:jc w:val="both"/>
        <w:rPr>
          <w:rFonts w:ascii="Times New Roman" w:hAnsi="Times New Roman"/>
          <w:sz w:val="24"/>
          <w:szCs w:val="24"/>
        </w:rPr>
      </w:pPr>
      <w:r w:rsidRPr="005404C7">
        <w:rPr>
          <w:rFonts w:ascii="Times New Roman" w:hAnsi="Times New Roman"/>
          <w:sz w:val="24"/>
          <w:szCs w:val="24"/>
        </w:rPr>
        <w:t>субвенции в сумме</w:t>
      </w:r>
      <w:r>
        <w:rPr>
          <w:rFonts w:ascii="Times New Roman" w:hAnsi="Times New Roman"/>
          <w:sz w:val="24"/>
          <w:szCs w:val="24"/>
        </w:rPr>
        <w:t>:</w:t>
      </w:r>
      <w:r w:rsidRPr="005404C7">
        <w:rPr>
          <w:rFonts w:ascii="Times New Roman" w:hAnsi="Times New Roman"/>
          <w:sz w:val="24"/>
          <w:szCs w:val="24"/>
        </w:rPr>
        <w:t xml:space="preserve"> на 2015 год - 1798647,8 тыс. рублей, на 2016 год - 1841248,5 тыс. рублей, на 2017 год - 1886772,5 тыс. рублей;</w:t>
      </w:r>
    </w:p>
    <w:p w:rsidR="004C2E5E" w:rsidRPr="005404C7" w:rsidRDefault="004C2E5E" w:rsidP="00DA5F4F">
      <w:pPr>
        <w:pStyle w:val="ad"/>
        <w:numPr>
          <w:ilvl w:val="0"/>
          <w:numId w:val="15"/>
        </w:numPr>
        <w:tabs>
          <w:tab w:val="left" w:pos="1276"/>
        </w:tabs>
        <w:spacing w:after="0" w:line="240" w:lineRule="auto"/>
        <w:ind w:left="357" w:hanging="357"/>
        <w:jc w:val="both"/>
        <w:rPr>
          <w:rFonts w:ascii="Times New Roman" w:hAnsi="Times New Roman"/>
          <w:sz w:val="24"/>
          <w:szCs w:val="24"/>
        </w:rPr>
      </w:pPr>
      <w:r w:rsidRPr="005404C7">
        <w:rPr>
          <w:rFonts w:ascii="Times New Roman" w:hAnsi="Times New Roman"/>
          <w:sz w:val="24"/>
          <w:szCs w:val="24"/>
        </w:rPr>
        <w:t>иные межбюджетные трансферты местным бюджетам в сумме</w:t>
      </w:r>
      <w:r>
        <w:rPr>
          <w:rFonts w:ascii="Times New Roman" w:hAnsi="Times New Roman"/>
          <w:sz w:val="24"/>
          <w:szCs w:val="24"/>
        </w:rPr>
        <w:t>:</w:t>
      </w:r>
      <w:r w:rsidRPr="005404C7">
        <w:rPr>
          <w:rFonts w:ascii="Times New Roman" w:hAnsi="Times New Roman"/>
          <w:sz w:val="24"/>
          <w:szCs w:val="24"/>
        </w:rPr>
        <w:t xml:space="preserve"> на 2015 год – </w:t>
      </w:r>
      <w:r w:rsidR="00554580">
        <w:rPr>
          <w:rFonts w:ascii="Times New Roman" w:hAnsi="Times New Roman"/>
          <w:sz w:val="24"/>
          <w:szCs w:val="24"/>
        </w:rPr>
        <w:br/>
      </w:r>
      <w:r w:rsidRPr="005404C7">
        <w:rPr>
          <w:rFonts w:ascii="Times New Roman" w:hAnsi="Times New Roman"/>
          <w:sz w:val="24"/>
          <w:szCs w:val="24"/>
        </w:rPr>
        <w:t>5751398,9</w:t>
      </w:r>
      <w:r>
        <w:rPr>
          <w:rFonts w:ascii="Times New Roman" w:hAnsi="Times New Roman"/>
          <w:sz w:val="24"/>
          <w:szCs w:val="24"/>
        </w:rPr>
        <w:t xml:space="preserve"> </w:t>
      </w:r>
      <w:r w:rsidRPr="005404C7">
        <w:rPr>
          <w:rFonts w:ascii="Times New Roman" w:hAnsi="Times New Roman"/>
          <w:sz w:val="24"/>
          <w:szCs w:val="24"/>
        </w:rPr>
        <w:t>тыс. рублей, на 2016 год – 5542653,8 тыс. рублей, на 2017 год – 4542653,8 тыс. рублей;</w:t>
      </w:r>
    </w:p>
    <w:p w:rsidR="004C2E5E" w:rsidRPr="005404C7" w:rsidRDefault="004C2E5E" w:rsidP="00DA5F4F">
      <w:pPr>
        <w:pStyle w:val="ad"/>
        <w:numPr>
          <w:ilvl w:val="0"/>
          <w:numId w:val="15"/>
        </w:numPr>
        <w:tabs>
          <w:tab w:val="left" w:pos="1276"/>
        </w:tabs>
        <w:spacing w:after="0" w:line="240" w:lineRule="auto"/>
        <w:ind w:left="357" w:hanging="357"/>
        <w:jc w:val="both"/>
        <w:rPr>
          <w:rFonts w:ascii="Times New Roman" w:hAnsi="Times New Roman"/>
          <w:sz w:val="24"/>
          <w:szCs w:val="24"/>
        </w:rPr>
      </w:pPr>
      <w:r w:rsidRPr="005404C7">
        <w:rPr>
          <w:rFonts w:ascii="Times New Roman" w:hAnsi="Times New Roman"/>
          <w:sz w:val="24"/>
          <w:szCs w:val="24"/>
        </w:rPr>
        <w:t>субсидии местным бюджетам в сумме</w:t>
      </w:r>
      <w:r>
        <w:rPr>
          <w:rFonts w:ascii="Times New Roman" w:hAnsi="Times New Roman"/>
          <w:sz w:val="24"/>
          <w:szCs w:val="24"/>
        </w:rPr>
        <w:t>:</w:t>
      </w:r>
      <w:r w:rsidRPr="005404C7">
        <w:rPr>
          <w:rFonts w:ascii="Times New Roman" w:hAnsi="Times New Roman"/>
          <w:sz w:val="24"/>
          <w:szCs w:val="24"/>
        </w:rPr>
        <w:t xml:space="preserve"> на 2015 год - 989366,8 тыс. рублей, на 2016 год - 520983,8 тыс. рублей, на 2017 год - 481473,8 тыс. рублей.</w:t>
      </w:r>
    </w:p>
    <w:p w:rsidR="004C2E5E"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субсидий на очередной финансовый год и плановый период спроектирован с ежегодным уменьшением. Кроме того, объем субсидий местным бюджетам на 2015 год спроектирован со снижением к объему субсидий, предусмотренному на текущий год на </w:t>
      </w:r>
      <w:r w:rsidRPr="005D5E8F">
        <w:rPr>
          <w:rFonts w:ascii="Times New Roman" w:hAnsi="Times New Roman"/>
          <w:sz w:val="24"/>
          <w:szCs w:val="24"/>
        </w:rPr>
        <w:t>1098165,2</w:t>
      </w:r>
      <w:r>
        <w:rPr>
          <w:rFonts w:ascii="Times New Roman" w:hAnsi="Times New Roman"/>
          <w:sz w:val="24"/>
          <w:szCs w:val="24"/>
        </w:rPr>
        <w:t xml:space="preserve"> тыс. рублей, или 52,6 процента.</w:t>
      </w:r>
    </w:p>
    <w:p w:rsidR="004C2E5E"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По данным министерства финансов Амурской области из 32 видов субсидий, предоставляемых в 2014 году</w:t>
      </w:r>
      <w:r w:rsidRPr="00760650">
        <w:rPr>
          <w:rFonts w:ascii="Times New Roman" w:hAnsi="Times New Roman"/>
          <w:sz w:val="24"/>
          <w:szCs w:val="24"/>
        </w:rPr>
        <w:t xml:space="preserve"> </w:t>
      </w:r>
      <w:r>
        <w:rPr>
          <w:rFonts w:ascii="Times New Roman" w:hAnsi="Times New Roman"/>
          <w:sz w:val="24"/>
          <w:szCs w:val="24"/>
        </w:rPr>
        <w:t>местным бюджетам, на 2015 год оставлено 8 видов субсидий.</w:t>
      </w:r>
    </w:p>
    <w:p w:rsidR="004C2E5E"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на 2015 год запланирован объем субсидий со значительным снижением к 2014 году:</w:t>
      </w:r>
    </w:p>
    <w:p w:rsidR="004C2E5E" w:rsidRPr="0077212D" w:rsidRDefault="004C2E5E" w:rsidP="00083EE0">
      <w:pPr>
        <w:pStyle w:val="ad"/>
        <w:numPr>
          <w:ilvl w:val="0"/>
          <w:numId w:val="31"/>
        </w:numPr>
        <w:tabs>
          <w:tab w:val="left" w:pos="1134"/>
        </w:tabs>
        <w:spacing w:after="0" w:line="240" w:lineRule="auto"/>
        <w:ind w:left="0" w:firstLine="851"/>
        <w:jc w:val="both"/>
        <w:rPr>
          <w:rFonts w:ascii="Times New Roman" w:hAnsi="Times New Roman"/>
          <w:sz w:val="24"/>
          <w:szCs w:val="24"/>
        </w:rPr>
      </w:pPr>
      <w:r w:rsidRPr="0077212D">
        <w:rPr>
          <w:rFonts w:ascii="Times New Roman" w:hAnsi="Times New Roman"/>
          <w:sz w:val="24"/>
          <w:szCs w:val="24"/>
        </w:rPr>
        <w:lastRenderedPageBreak/>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25,1 процента уровня 2014 года;</w:t>
      </w:r>
    </w:p>
    <w:p w:rsidR="004C2E5E" w:rsidRPr="0077212D" w:rsidRDefault="004C2E5E" w:rsidP="00083EE0">
      <w:pPr>
        <w:pStyle w:val="ad"/>
        <w:numPr>
          <w:ilvl w:val="0"/>
          <w:numId w:val="31"/>
        </w:numPr>
        <w:tabs>
          <w:tab w:val="left" w:pos="1134"/>
        </w:tabs>
        <w:spacing w:after="0" w:line="240" w:lineRule="auto"/>
        <w:ind w:left="0" w:firstLine="851"/>
        <w:jc w:val="both"/>
        <w:rPr>
          <w:rFonts w:ascii="Times New Roman" w:hAnsi="Times New Roman"/>
          <w:sz w:val="24"/>
          <w:szCs w:val="24"/>
        </w:rPr>
      </w:pPr>
      <w:r w:rsidRPr="0077212D">
        <w:rPr>
          <w:rFonts w:ascii="Times New Roman" w:hAnsi="Times New Roman"/>
          <w:sz w:val="24"/>
          <w:szCs w:val="24"/>
        </w:rPr>
        <w:t xml:space="preserve">на модернизацию коммунальной инфраструктуры – 34,0 процента уровня </w:t>
      </w:r>
      <w:r w:rsidR="0077212D">
        <w:rPr>
          <w:rFonts w:ascii="Times New Roman" w:hAnsi="Times New Roman"/>
          <w:sz w:val="24"/>
          <w:szCs w:val="24"/>
        </w:rPr>
        <w:br/>
      </w:r>
      <w:r w:rsidRPr="0077212D">
        <w:rPr>
          <w:rFonts w:ascii="Times New Roman" w:hAnsi="Times New Roman"/>
          <w:sz w:val="24"/>
          <w:szCs w:val="24"/>
        </w:rPr>
        <w:t>2014 года;</w:t>
      </w:r>
    </w:p>
    <w:p w:rsidR="004C2E5E" w:rsidRPr="0077212D" w:rsidRDefault="004C2E5E" w:rsidP="00083EE0">
      <w:pPr>
        <w:pStyle w:val="ad"/>
        <w:numPr>
          <w:ilvl w:val="0"/>
          <w:numId w:val="31"/>
        </w:numPr>
        <w:tabs>
          <w:tab w:val="left" w:pos="1134"/>
        </w:tabs>
        <w:spacing w:after="0" w:line="240" w:lineRule="auto"/>
        <w:ind w:left="0" w:firstLine="851"/>
        <w:jc w:val="both"/>
        <w:rPr>
          <w:rFonts w:ascii="Times New Roman" w:hAnsi="Times New Roman"/>
          <w:sz w:val="24"/>
          <w:szCs w:val="24"/>
        </w:rPr>
      </w:pPr>
      <w:r w:rsidRPr="0077212D">
        <w:rPr>
          <w:rFonts w:ascii="Times New Roman" w:hAnsi="Times New Roman"/>
          <w:sz w:val="24"/>
          <w:szCs w:val="24"/>
        </w:rPr>
        <w:t>на улучшение жилищных условий граждан, проживающих в сельской местности – 45,8 процента уровня 2014 года.</w:t>
      </w:r>
    </w:p>
    <w:p w:rsidR="004C2E5E"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увеличен объем субсидий на 2015 год:</w:t>
      </w:r>
    </w:p>
    <w:p w:rsidR="004C2E5E" w:rsidRPr="0077212D" w:rsidRDefault="004C2E5E" w:rsidP="00083EE0">
      <w:pPr>
        <w:pStyle w:val="ad"/>
        <w:numPr>
          <w:ilvl w:val="0"/>
          <w:numId w:val="32"/>
        </w:numPr>
        <w:tabs>
          <w:tab w:val="left" w:pos="993"/>
          <w:tab w:val="left" w:pos="1276"/>
        </w:tabs>
        <w:spacing w:after="0" w:line="240" w:lineRule="auto"/>
        <w:ind w:left="0" w:firstLine="851"/>
        <w:jc w:val="both"/>
        <w:rPr>
          <w:rFonts w:ascii="Times New Roman" w:hAnsi="Times New Roman"/>
          <w:sz w:val="24"/>
          <w:szCs w:val="24"/>
        </w:rPr>
      </w:pPr>
      <w:r w:rsidRPr="0077212D">
        <w:rPr>
          <w:rFonts w:ascii="Times New Roman" w:hAnsi="Times New Roman"/>
          <w:sz w:val="24"/>
          <w:szCs w:val="24"/>
        </w:rPr>
        <w:t>на приобретение жилых помещений экономического класса на первичном и (или) вторичном рынках жилья по программе «Переселение из ветхого и аварийного жилья в зоне БАМ» - более чем в 2000 раз к уровню 2014 года;</w:t>
      </w:r>
    </w:p>
    <w:p w:rsidR="004C2E5E" w:rsidRPr="0077212D" w:rsidRDefault="004C2E5E" w:rsidP="00083EE0">
      <w:pPr>
        <w:pStyle w:val="ad"/>
        <w:numPr>
          <w:ilvl w:val="0"/>
          <w:numId w:val="32"/>
        </w:numPr>
        <w:tabs>
          <w:tab w:val="left" w:pos="993"/>
          <w:tab w:val="left" w:pos="1276"/>
        </w:tabs>
        <w:spacing w:after="0" w:line="240" w:lineRule="auto"/>
        <w:ind w:left="0" w:firstLine="851"/>
        <w:jc w:val="both"/>
        <w:rPr>
          <w:rFonts w:ascii="Times New Roman" w:hAnsi="Times New Roman"/>
          <w:sz w:val="24"/>
          <w:szCs w:val="24"/>
        </w:rPr>
      </w:pPr>
      <w:r w:rsidRPr="0077212D">
        <w:rPr>
          <w:rFonts w:ascii="Times New Roman" w:hAnsi="Times New Roman"/>
          <w:sz w:val="24"/>
          <w:szCs w:val="24"/>
        </w:rPr>
        <w:t>на развитие сети плоскостных спортивных сооружений в сельской местности – более чем в 3 раза к уровню 2014 года;</w:t>
      </w:r>
    </w:p>
    <w:p w:rsidR="004C2E5E" w:rsidRPr="0077212D" w:rsidRDefault="004C2E5E" w:rsidP="00083EE0">
      <w:pPr>
        <w:pStyle w:val="ad"/>
        <w:numPr>
          <w:ilvl w:val="0"/>
          <w:numId w:val="32"/>
        </w:numPr>
        <w:tabs>
          <w:tab w:val="left" w:pos="993"/>
          <w:tab w:val="left" w:pos="1276"/>
        </w:tabs>
        <w:spacing w:after="0" w:line="240" w:lineRule="auto"/>
        <w:ind w:left="0" w:firstLine="851"/>
        <w:jc w:val="both"/>
        <w:rPr>
          <w:rFonts w:ascii="Times New Roman" w:hAnsi="Times New Roman"/>
          <w:sz w:val="24"/>
          <w:szCs w:val="24"/>
        </w:rPr>
      </w:pPr>
      <w:r w:rsidRPr="0077212D">
        <w:rPr>
          <w:rFonts w:ascii="Times New Roman" w:hAnsi="Times New Roman"/>
          <w:sz w:val="24"/>
          <w:szCs w:val="24"/>
        </w:rPr>
        <w:t>на улучшение жилищных условий молодых семей и молодых специалистов, проживающих в сельской местности</w:t>
      </w:r>
      <w:r w:rsidR="00554580" w:rsidRPr="0077212D">
        <w:rPr>
          <w:rFonts w:ascii="Times New Roman" w:hAnsi="Times New Roman"/>
          <w:sz w:val="24"/>
          <w:szCs w:val="24"/>
        </w:rPr>
        <w:t xml:space="preserve"> – 126,</w:t>
      </w:r>
      <w:r w:rsidRPr="0077212D">
        <w:rPr>
          <w:rFonts w:ascii="Times New Roman" w:hAnsi="Times New Roman"/>
          <w:sz w:val="24"/>
          <w:szCs w:val="24"/>
        </w:rPr>
        <w:t>1 процента к уровню 2014 года;</w:t>
      </w:r>
    </w:p>
    <w:p w:rsidR="004C2E5E" w:rsidRPr="0077212D" w:rsidRDefault="004C2E5E" w:rsidP="00083EE0">
      <w:pPr>
        <w:pStyle w:val="ad"/>
        <w:numPr>
          <w:ilvl w:val="0"/>
          <w:numId w:val="32"/>
        </w:numPr>
        <w:tabs>
          <w:tab w:val="left" w:pos="993"/>
          <w:tab w:val="left" w:pos="1276"/>
        </w:tabs>
        <w:spacing w:after="0" w:line="240" w:lineRule="auto"/>
        <w:ind w:left="0" w:firstLine="851"/>
        <w:jc w:val="both"/>
        <w:rPr>
          <w:rFonts w:ascii="Times New Roman" w:hAnsi="Times New Roman"/>
          <w:sz w:val="24"/>
          <w:szCs w:val="24"/>
        </w:rPr>
      </w:pPr>
      <w:r w:rsidRPr="0077212D">
        <w:rPr>
          <w:rFonts w:ascii="Times New Roman" w:hAnsi="Times New Roman"/>
          <w:sz w:val="24"/>
          <w:szCs w:val="24"/>
        </w:rPr>
        <w:t>на осуществление муниципальными образованиями дорожной деятельности в отношении автомобильных дорог местного значения и сооружений на них – 122,3 процента к уровню 2014 года.</w:t>
      </w:r>
    </w:p>
    <w:p w:rsidR="004C2E5E" w:rsidRDefault="004C2E5E" w:rsidP="004C2E5E">
      <w:pPr>
        <w:spacing w:after="0" w:line="240" w:lineRule="auto"/>
        <w:ind w:firstLine="709"/>
        <w:jc w:val="both"/>
        <w:rPr>
          <w:rFonts w:ascii="Times New Roman" w:hAnsi="Times New Roman"/>
          <w:sz w:val="24"/>
          <w:szCs w:val="24"/>
        </w:rPr>
      </w:pPr>
      <w:r>
        <w:rPr>
          <w:rFonts w:ascii="Times New Roman" w:hAnsi="Times New Roman"/>
          <w:sz w:val="24"/>
          <w:szCs w:val="24"/>
        </w:rPr>
        <w:t>На уровне текущего года на 2015 год предусмотрены субсидии на р</w:t>
      </w:r>
      <w:r w:rsidRPr="004B2E08">
        <w:rPr>
          <w:rFonts w:ascii="Times New Roman" w:hAnsi="Times New Roman"/>
          <w:sz w:val="24"/>
          <w:szCs w:val="24"/>
        </w:rPr>
        <w:t xml:space="preserve">азвитие аппаратно-программного комплекса </w:t>
      </w:r>
      <w:r>
        <w:rPr>
          <w:rFonts w:ascii="Times New Roman" w:hAnsi="Times New Roman"/>
          <w:sz w:val="24"/>
          <w:szCs w:val="24"/>
        </w:rPr>
        <w:t>«Безопасный город» и модернизацию</w:t>
      </w:r>
      <w:r w:rsidRPr="004B2E08">
        <w:rPr>
          <w:rFonts w:ascii="Times New Roman" w:hAnsi="Times New Roman"/>
          <w:sz w:val="24"/>
          <w:szCs w:val="24"/>
        </w:rPr>
        <w:t xml:space="preserve"> региональных систем дошкольного образования</w:t>
      </w:r>
      <w:r>
        <w:rPr>
          <w:rFonts w:ascii="Times New Roman" w:hAnsi="Times New Roman"/>
          <w:sz w:val="24"/>
          <w:szCs w:val="24"/>
        </w:rPr>
        <w:t>.</w:t>
      </w:r>
    </w:p>
    <w:p w:rsidR="004C2E5E" w:rsidRDefault="004C2E5E" w:rsidP="004C2E5E">
      <w:pPr>
        <w:spacing w:after="0" w:line="240" w:lineRule="auto"/>
        <w:ind w:firstLine="709"/>
        <w:jc w:val="both"/>
        <w:rPr>
          <w:rFonts w:ascii="Times New Roman" w:hAnsi="Times New Roman"/>
          <w:sz w:val="24"/>
          <w:szCs w:val="24"/>
        </w:rPr>
      </w:pPr>
      <w:r w:rsidRPr="00884990">
        <w:rPr>
          <w:rFonts w:ascii="Times New Roman" w:hAnsi="Times New Roman"/>
          <w:sz w:val="24"/>
          <w:szCs w:val="24"/>
        </w:rPr>
        <w:t xml:space="preserve">Частью 3 статьи 8 проекта закона области «Об областном бюджете на 2015 год и плановый период 2016 и 2017 годов» установлен объем бюджетных ассигнований, направленных на исполнение публичных нормативных обязательств на 2015 год в сумме 735180,2 тыс. рублей, на 2016 год в сумме 726758,5тыс. рублей и 2017 год в сумме </w:t>
      </w:r>
      <w:r w:rsidRPr="00884990">
        <w:rPr>
          <w:rFonts w:ascii="Times New Roman" w:hAnsi="Times New Roman"/>
          <w:sz w:val="24"/>
          <w:szCs w:val="24"/>
        </w:rPr>
        <w:br/>
        <w:t>682475,8 тыс. рублей.</w:t>
      </w:r>
    </w:p>
    <w:p w:rsidR="004C2E5E" w:rsidRPr="00554580" w:rsidRDefault="004C2E5E" w:rsidP="004C2E5E">
      <w:pPr>
        <w:spacing w:after="0" w:line="240" w:lineRule="auto"/>
        <w:ind w:firstLine="709"/>
        <w:jc w:val="both"/>
        <w:rPr>
          <w:rFonts w:ascii="Times New Roman" w:hAnsi="Times New Roman"/>
          <w:sz w:val="24"/>
          <w:szCs w:val="24"/>
        </w:rPr>
      </w:pPr>
      <w:r w:rsidRPr="00884990">
        <w:rPr>
          <w:rFonts w:ascii="Times New Roman" w:hAnsi="Times New Roman"/>
          <w:sz w:val="24"/>
          <w:szCs w:val="24"/>
        </w:rPr>
        <w:t xml:space="preserve">Анализ расходов областного бюджета, предусмотренных на исполнение публичных нормативных обязательств в динамике за 2014-2017 годы, представлен </w:t>
      </w:r>
      <w:r w:rsidRPr="00554580">
        <w:rPr>
          <w:rFonts w:ascii="Times New Roman" w:hAnsi="Times New Roman"/>
          <w:sz w:val="24"/>
          <w:szCs w:val="24"/>
        </w:rPr>
        <w:t xml:space="preserve">в таблице </w:t>
      </w:r>
      <w:r w:rsidR="00554580">
        <w:rPr>
          <w:rFonts w:ascii="Times New Roman" w:hAnsi="Times New Roman"/>
          <w:sz w:val="24"/>
          <w:szCs w:val="24"/>
        </w:rPr>
        <w:t>3</w:t>
      </w:r>
      <w:r w:rsidRPr="00554580">
        <w:rPr>
          <w:rFonts w:ascii="Times New Roman" w:hAnsi="Times New Roman"/>
          <w:sz w:val="24"/>
          <w:szCs w:val="24"/>
        </w:rPr>
        <w:t>.</w:t>
      </w:r>
    </w:p>
    <w:p w:rsidR="004C2E5E" w:rsidRPr="00884990" w:rsidRDefault="004C2E5E" w:rsidP="004C2E5E">
      <w:pPr>
        <w:spacing w:after="0" w:line="240" w:lineRule="auto"/>
        <w:ind w:firstLine="680"/>
        <w:jc w:val="right"/>
        <w:rPr>
          <w:rFonts w:ascii="Times New Roman" w:hAnsi="Times New Roman"/>
          <w:sz w:val="24"/>
          <w:szCs w:val="24"/>
        </w:rPr>
      </w:pPr>
      <w:r w:rsidRPr="00554580">
        <w:rPr>
          <w:rFonts w:ascii="Times New Roman" w:hAnsi="Times New Roman"/>
          <w:sz w:val="24"/>
          <w:szCs w:val="24"/>
        </w:rPr>
        <w:t>Таблица</w:t>
      </w:r>
      <w:r w:rsidRPr="00884990">
        <w:rPr>
          <w:rFonts w:ascii="Times New Roman" w:hAnsi="Times New Roman"/>
          <w:sz w:val="24"/>
          <w:szCs w:val="24"/>
        </w:rPr>
        <w:t xml:space="preserve"> </w:t>
      </w:r>
      <w:r w:rsidR="00554580">
        <w:rPr>
          <w:rFonts w:ascii="Times New Roman" w:hAnsi="Times New Roman"/>
          <w:sz w:val="24"/>
          <w:szCs w:val="24"/>
        </w:rPr>
        <w:t>3</w:t>
      </w:r>
    </w:p>
    <w:p w:rsidR="004C2E5E" w:rsidRPr="00884990" w:rsidRDefault="004C2E5E" w:rsidP="004C2E5E">
      <w:pPr>
        <w:spacing w:before="120" w:after="0" w:line="240" w:lineRule="auto"/>
        <w:ind w:firstLine="680"/>
        <w:jc w:val="center"/>
        <w:rPr>
          <w:rFonts w:ascii="Times New Roman" w:hAnsi="Times New Roman"/>
          <w:b/>
          <w:sz w:val="24"/>
          <w:szCs w:val="24"/>
        </w:rPr>
      </w:pPr>
      <w:r w:rsidRPr="00884990">
        <w:rPr>
          <w:rFonts w:ascii="Times New Roman" w:hAnsi="Times New Roman"/>
          <w:b/>
          <w:sz w:val="24"/>
          <w:szCs w:val="24"/>
        </w:rPr>
        <w:t>Анализ расходов областного бюджета, направленных на исполнение публичных нормативных обязательств</w:t>
      </w:r>
    </w:p>
    <w:p w:rsidR="004C2E5E" w:rsidRDefault="004C2E5E" w:rsidP="004C2E5E">
      <w:pPr>
        <w:spacing w:after="120" w:line="240" w:lineRule="auto"/>
        <w:ind w:firstLine="680"/>
        <w:jc w:val="right"/>
        <w:rPr>
          <w:rFonts w:ascii="Times New Roman" w:hAnsi="Times New Roman"/>
          <w:sz w:val="24"/>
          <w:szCs w:val="24"/>
        </w:rPr>
      </w:pPr>
      <w:r w:rsidRPr="00884990">
        <w:rPr>
          <w:rFonts w:ascii="Times New Roman" w:hAnsi="Times New Roman"/>
          <w:sz w:val="24"/>
          <w:szCs w:val="24"/>
        </w:rPr>
        <w:t>тыс. рублей</w:t>
      </w:r>
    </w:p>
    <w:tbl>
      <w:tblPr>
        <w:tblW w:w="10490" w:type="dxa"/>
        <w:tblInd w:w="-459" w:type="dxa"/>
        <w:tblLayout w:type="fixed"/>
        <w:tblLook w:val="04A0" w:firstRow="1" w:lastRow="0" w:firstColumn="1" w:lastColumn="0" w:noHBand="0" w:noVBand="1"/>
      </w:tblPr>
      <w:tblGrid>
        <w:gridCol w:w="1134"/>
        <w:gridCol w:w="851"/>
        <w:gridCol w:w="850"/>
        <w:gridCol w:w="851"/>
        <w:gridCol w:w="850"/>
        <w:gridCol w:w="993"/>
        <w:gridCol w:w="708"/>
        <w:gridCol w:w="709"/>
        <w:gridCol w:w="567"/>
        <w:gridCol w:w="851"/>
        <w:gridCol w:w="567"/>
        <w:gridCol w:w="992"/>
        <w:gridCol w:w="567"/>
      </w:tblGrid>
      <w:tr w:rsidR="004C2E5E" w:rsidRPr="00044E66" w:rsidTr="004C2E5E">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 </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Период</w:t>
            </w:r>
          </w:p>
        </w:tc>
        <w:tc>
          <w:tcPr>
            <w:tcW w:w="5954" w:type="dxa"/>
            <w:gridSpan w:val="8"/>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Рост (снижение) расходов</w:t>
            </w:r>
          </w:p>
        </w:tc>
      </w:tr>
      <w:tr w:rsidR="004C2E5E" w:rsidRPr="00044E66" w:rsidTr="004C2E5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2014,     план</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2015, проект</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2016, проект</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2017, проект</w:t>
            </w:r>
          </w:p>
        </w:tc>
        <w:tc>
          <w:tcPr>
            <w:tcW w:w="4395" w:type="dxa"/>
            <w:gridSpan w:val="6"/>
            <w:tcBorders>
              <w:top w:val="single" w:sz="4" w:space="0" w:color="auto"/>
              <w:left w:val="nil"/>
              <w:bottom w:val="single" w:sz="4" w:space="0" w:color="auto"/>
              <w:right w:val="single" w:sz="4" w:space="0" w:color="auto"/>
            </w:tcBorders>
            <w:shd w:val="clear" w:color="auto" w:fill="auto"/>
            <w:vAlign w:val="center"/>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к предыдущему году</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5E" w:rsidRPr="00044E66" w:rsidRDefault="00554580" w:rsidP="004C2E5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2017</w:t>
            </w:r>
            <w:r w:rsidR="004C2E5E" w:rsidRPr="00044E66">
              <w:rPr>
                <w:rFonts w:ascii="Times New Roman" w:hAnsi="Times New Roman"/>
                <w:color w:val="000000"/>
                <w:sz w:val="18"/>
                <w:szCs w:val="18"/>
              </w:rPr>
              <w:t xml:space="preserve"> к 2014</w:t>
            </w:r>
          </w:p>
        </w:tc>
      </w:tr>
      <w:tr w:rsidR="004C2E5E" w:rsidRPr="00044E66" w:rsidTr="004C2E5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2015</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2016</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2017</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r>
      <w:tr w:rsidR="004C2E5E" w:rsidRPr="00044E66" w:rsidTr="004C2E5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4C2E5E" w:rsidRPr="00044E66" w:rsidRDefault="004C2E5E" w:rsidP="004C2E5E">
            <w:pPr>
              <w:spacing w:after="0" w:line="240" w:lineRule="auto"/>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rPr>
                <w:rFonts w:ascii="Times New Roman" w:hAnsi="Times New Roman"/>
                <w:color w:val="000000"/>
                <w:sz w:val="18"/>
                <w:szCs w:val="18"/>
              </w:rPr>
            </w:pPr>
            <w:r w:rsidRPr="00044E66">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color w:val="000000"/>
                <w:sz w:val="18"/>
                <w:szCs w:val="18"/>
              </w:rPr>
            </w:pPr>
            <w:r w:rsidRPr="00044E66">
              <w:rPr>
                <w:rFonts w:ascii="Times New Roman" w:hAnsi="Times New Roman"/>
                <w:color w:val="000000"/>
                <w:sz w:val="18"/>
                <w:szCs w:val="18"/>
              </w:rPr>
              <w:t>%</w:t>
            </w:r>
          </w:p>
        </w:tc>
      </w:tr>
      <w:tr w:rsidR="004C2E5E" w:rsidRPr="00044E66" w:rsidTr="004C2E5E">
        <w:trPr>
          <w:trHeight w:val="49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rPr>
                <w:rFonts w:ascii="Times New Roman" w:hAnsi="Times New Roman"/>
                <w:color w:val="000000"/>
                <w:sz w:val="18"/>
                <w:szCs w:val="18"/>
              </w:rPr>
            </w:pPr>
            <w:r w:rsidRPr="00044E66">
              <w:rPr>
                <w:rFonts w:ascii="Times New Roman" w:hAnsi="Times New Roman"/>
                <w:color w:val="000000"/>
                <w:sz w:val="18"/>
                <w:szCs w:val="18"/>
              </w:rPr>
              <w:t>Объем ПНО, всего</w:t>
            </w:r>
          </w:p>
        </w:tc>
        <w:tc>
          <w:tcPr>
            <w:tcW w:w="851"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3875744</w:t>
            </w:r>
          </w:p>
        </w:tc>
        <w:tc>
          <w:tcPr>
            <w:tcW w:w="850"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735180</w:t>
            </w:r>
          </w:p>
        </w:tc>
        <w:tc>
          <w:tcPr>
            <w:tcW w:w="851"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726758</w:t>
            </w:r>
          </w:p>
        </w:tc>
        <w:tc>
          <w:tcPr>
            <w:tcW w:w="850"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Pr>
                <w:rFonts w:ascii="Times New Roman" w:hAnsi="Times New Roman"/>
                <w:color w:val="000000"/>
                <w:sz w:val="18"/>
                <w:szCs w:val="18"/>
              </w:rPr>
              <w:t>682476</w:t>
            </w:r>
          </w:p>
        </w:tc>
        <w:tc>
          <w:tcPr>
            <w:tcW w:w="993"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-3140564</w:t>
            </w:r>
          </w:p>
        </w:tc>
        <w:tc>
          <w:tcPr>
            <w:tcW w:w="708"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19,0</w:t>
            </w:r>
          </w:p>
        </w:tc>
        <w:tc>
          <w:tcPr>
            <w:tcW w:w="709"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-842</w:t>
            </w:r>
            <w:r>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98,9</w:t>
            </w:r>
          </w:p>
        </w:tc>
        <w:tc>
          <w:tcPr>
            <w:tcW w:w="851"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Pr>
                <w:rFonts w:ascii="Times New Roman" w:hAnsi="Times New Roman"/>
                <w:color w:val="000000"/>
                <w:sz w:val="18"/>
                <w:szCs w:val="18"/>
              </w:rPr>
              <w:t>-44283</w:t>
            </w:r>
          </w:p>
        </w:tc>
        <w:tc>
          <w:tcPr>
            <w:tcW w:w="567"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93,9</w:t>
            </w:r>
          </w:p>
        </w:tc>
        <w:tc>
          <w:tcPr>
            <w:tcW w:w="992"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-3193269</w:t>
            </w:r>
          </w:p>
        </w:tc>
        <w:tc>
          <w:tcPr>
            <w:tcW w:w="567"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color w:val="000000"/>
                <w:sz w:val="18"/>
                <w:szCs w:val="18"/>
              </w:rPr>
            </w:pPr>
            <w:r w:rsidRPr="00044E66">
              <w:rPr>
                <w:rFonts w:ascii="Times New Roman" w:hAnsi="Times New Roman"/>
                <w:color w:val="000000"/>
                <w:sz w:val="18"/>
                <w:szCs w:val="18"/>
              </w:rPr>
              <w:t>17,6</w:t>
            </w:r>
          </w:p>
        </w:tc>
      </w:tr>
      <w:tr w:rsidR="004C2E5E" w:rsidRPr="00044E66" w:rsidTr="004C2E5E">
        <w:trPr>
          <w:trHeight w:val="49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rPr>
                <w:rFonts w:ascii="Times New Roman" w:hAnsi="Times New Roman"/>
                <w:color w:val="000000"/>
                <w:sz w:val="18"/>
                <w:szCs w:val="18"/>
              </w:rPr>
            </w:pPr>
            <w:r w:rsidRPr="00044E66">
              <w:rPr>
                <w:rFonts w:ascii="Times New Roman" w:hAnsi="Times New Roman"/>
                <w:color w:val="000000"/>
                <w:sz w:val="18"/>
                <w:szCs w:val="18"/>
              </w:rPr>
              <w:t>доля ПНО в общем объеме расходов,%</w:t>
            </w:r>
          </w:p>
        </w:tc>
        <w:tc>
          <w:tcPr>
            <w:tcW w:w="851"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sz w:val="18"/>
                <w:szCs w:val="18"/>
              </w:rPr>
            </w:pPr>
            <w:r w:rsidRPr="00044E66">
              <w:rPr>
                <w:rFonts w:ascii="Times New Roman" w:hAnsi="Times New Roman"/>
                <w:sz w:val="18"/>
                <w:szCs w:val="18"/>
              </w:rPr>
              <w:t>7,7</w:t>
            </w:r>
          </w:p>
        </w:tc>
        <w:tc>
          <w:tcPr>
            <w:tcW w:w="850"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sz w:val="18"/>
                <w:szCs w:val="18"/>
              </w:rPr>
            </w:pPr>
            <w:r w:rsidRPr="00044E66">
              <w:rPr>
                <w:rFonts w:ascii="Times New Roman" w:hAnsi="Times New Roman"/>
                <w:sz w:val="18"/>
                <w:szCs w:val="18"/>
              </w:rPr>
              <w:t>2,1</w:t>
            </w:r>
          </w:p>
        </w:tc>
        <w:tc>
          <w:tcPr>
            <w:tcW w:w="851"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sz w:val="18"/>
                <w:szCs w:val="18"/>
              </w:rPr>
            </w:pPr>
            <w:r w:rsidRPr="00044E66">
              <w:rPr>
                <w:rFonts w:ascii="Times New Roman" w:hAnsi="Times New Roman"/>
                <w:sz w:val="18"/>
                <w:szCs w:val="18"/>
              </w:rPr>
              <w:t>2,1</w:t>
            </w:r>
          </w:p>
        </w:tc>
        <w:tc>
          <w:tcPr>
            <w:tcW w:w="850" w:type="dxa"/>
            <w:tcBorders>
              <w:top w:val="nil"/>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right"/>
              <w:rPr>
                <w:rFonts w:ascii="Times New Roman" w:hAnsi="Times New Roman"/>
                <w:sz w:val="18"/>
                <w:szCs w:val="18"/>
              </w:rPr>
            </w:pPr>
            <w:r w:rsidRPr="00044E66">
              <w:rPr>
                <w:rFonts w:ascii="Times New Roman" w:hAnsi="Times New Roman"/>
                <w:sz w:val="18"/>
                <w:szCs w:val="18"/>
              </w:rPr>
              <w:t>2,5</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sz w:val="18"/>
                <w:szCs w:val="18"/>
              </w:rPr>
            </w:pPr>
            <w:r w:rsidRPr="00044E66">
              <w:rPr>
                <w:rFonts w:ascii="Times New Roman" w:hAnsi="Times New Roman"/>
                <w:sz w:val="18"/>
                <w:szCs w:val="18"/>
              </w:rPr>
              <w:t>х</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sz w:val="18"/>
                <w:szCs w:val="18"/>
              </w:rPr>
            </w:pPr>
            <w:r w:rsidRPr="00044E66">
              <w:rPr>
                <w:rFonts w:ascii="Times New Roman" w:hAnsi="Times New Roman"/>
                <w:sz w:val="18"/>
                <w:szCs w:val="18"/>
              </w:rPr>
              <w:t>х</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sz w:val="18"/>
                <w:szCs w:val="18"/>
              </w:rPr>
            </w:pPr>
            <w:r w:rsidRPr="00044E66">
              <w:rPr>
                <w:rFonts w:ascii="Times New Roman" w:hAnsi="Times New Roman"/>
                <w:sz w:val="18"/>
                <w:szCs w:val="18"/>
              </w:rPr>
              <w:t>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C2E5E" w:rsidRPr="00044E66" w:rsidRDefault="004C2E5E" w:rsidP="004C2E5E">
            <w:pPr>
              <w:spacing w:after="0" w:line="240" w:lineRule="auto"/>
              <w:jc w:val="center"/>
              <w:rPr>
                <w:rFonts w:ascii="Times New Roman" w:hAnsi="Times New Roman"/>
                <w:sz w:val="18"/>
                <w:szCs w:val="18"/>
              </w:rPr>
            </w:pPr>
            <w:r w:rsidRPr="00044E66">
              <w:rPr>
                <w:rFonts w:ascii="Times New Roman" w:hAnsi="Times New Roman"/>
                <w:sz w:val="18"/>
                <w:szCs w:val="18"/>
              </w:rPr>
              <w:t>х</w:t>
            </w:r>
          </w:p>
        </w:tc>
      </w:tr>
    </w:tbl>
    <w:p w:rsidR="00A231CD" w:rsidRDefault="00A231CD" w:rsidP="00554580">
      <w:pPr>
        <w:spacing w:after="0" w:line="240" w:lineRule="auto"/>
        <w:ind w:firstLine="709"/>
        <w:jc w:val="both"/>
        <w:rPr>
          <w:rFonts w:ascii="Times New Roman" w:hAnsi="Times New Roman"/>
          <w:sz w:val="24"/>
          <w:szCs w:val="24"/>
        </w:rPr>
      </w:pP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Данные таблицы показывают динамику снижения объема расходов областного бюджета на исполнение публичных нормативных обязательств:</w:t>
      </w:r>
    </w:p>
    <w:p w:rsidR="004C2E5E" w:rsidRPr="00554580" w:rsidRDefault="004C2E5E" w:rsidP="00DA5F4F">
      <w:pPr>
        <w:pStyle w:val="ad"/>
        <w:numPr>
          <w:ilvl w:val="0"/>
          <w:numId w:val="16"/>
        </w:numPr>
        <w:spacing w:after="0" w:line="240" w:lineRule="auto"/>
        <w:jc w:val="both"/>
        <w:rPr>
          <w:rFonts w:ascii="Times New Roman" w:hAnsi="Times New Roman"/>
          <w:sz w:val="24"/>
          <w:szCs w:val="24"/>
        </w:rPr>
      </w:pPr>
      <w:r w:rsidRPr="00554580">
        <w:rPr>
          <w:rFonts w:ascii="Times New Roman" w:hAnsi="Times New Roman"/>
          <w:sz w:val="24"/>
          <w:szCs w:val="24"/>
        </w:rPr>
        <w:t xml:space="preserve">2015 год к 2014 </w:t>
      </w:r>
      <w:r w:rsidR="00554580" w:rsidRPr="00554580">
        <w:rPr>
          <w:rFonts w:ascii="Times New Roman" w:hAnsi="Times New Roman"/>
          <w:sz w:val="24"/>
          <w:szCs w:val="24"/>
        </w:rPr>
        <w:t xml:space="preserve">году </w:t>
      </w:r>
      <w:r w:rsidRPr="00554580">
        <w:rPr>
          <w:rFonts w:ascii="Times New Roman" w:hAnsi="Times New Roman"/>
          <w:sz w:val="24"/>
          <w:szCs w:val="24"/>
        </w:rPr>
        <w:t>– на 3140564,0 тыс. рублей;</w:t>
      </w:r>
    </w:p>
    <w:p w:rsidR="004C2E5E" w:rsidRPr="00554580" w:rsidRDefault="004C2E5E" w:rsidP="00DA5F4F">
      <w:pPr>
        <w:pStyle w:val="ad"/>
        <w:numPr>
          <w:ilvl w:val="0"/>
          <w:numId w:val="16"/>
        </w:numPr>
        <w:spacing w:after="0" w:line="240" w:lineRule="auto"/>
        <w:jc w:val="both"/>
        <w:rPr>
          <w:rFonts w:ascii="Times New Roman" w:hAnsi="Times New Roman"/>
          <w:sz w:val="24"/>
          <w:szCs w:val="24"/>
        </w:rPr>
      </w:pPr>
      <w:r w:rsidRPr="00554580">
        <w:rPr>
          <w:rFonts w:ascii="Times New Roman" w:hAnsi="Times New Roman"/>
          <w:sz w:val="24"/>
          <w:szCs w:val="24"/>
        </w:rPr>
        <w:t>2016 год к 2015 году – на 8422,0 тыс. рублей;</w:t>
      </w:r>
    </w:p>
    <w:p w:rsidR="004C2E5E" w:rsidRPr="00554580" w:rsidRDefault="004C2E5E" w:rsidP="00DA5F4F">
      <w:pPr>
        <w:pStyle w:val="ad"/>
        <w:numPr>
          <w:ilvl w:val="0"/>
          <w:numId w:val="16"/>
        </w:numPr>
        <w:spacing w:after="0" w:line="240" w:lineRule="auto"/>
        <w:jc w:val="both"/>
        <w:rPr>
          <w:rFonts w:ascii="Times New Roman" w:hAnsi="Times New Roman"/>
          <w:sz w:val="24"/>
          <w:szCs w:val="24"/>
        </w:rPr>
      </w:pPr>
      <w:r w:rsidRPr="00554580">
        <w:rPr>
          <w:rFonts w:ascii="Times New Roman" w:hAnsi="Times New Roman"/>
          <w:sz w:val="24"/>
          <w:szCs w:val="24"/>
        </w:rPr>
        <w:t>2017 год к 2016 году – на 44283,0 тыс. рублей.</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 xml:space="preserve">Доля расходов на исполнение публичных нормативных обязательств в общем объеме расходов областного бюджета на 2015, 2016 и 2017 годы уменьшилась по отношению </w:t>
      </w:r>
      <w:r w:rsidR="00554580">
        <w:rPr>
          <w:rFonts w:ascii="Times New Roman" w:hAnsi="Times New Roman"/>
          <w:sz w:val="24"/>
          <w:szCs w:val="24"/>
        </w:rPr>
        <w:br/>
      </w:r>
      <w:r w:rsidRPr="00554580">
        <w:rPr>
          <w:rFonts w:ascii="Times New Roman" w:hAnsi="Times New Roman"/>
          <w:sz w:val="24"/>
          <w:szCs w:val="24"/>
        </w:rPr>
        <w:t xml:space="preserve">к 2014 году на 5,6 процентных пункта в 2015 и 2016 годах и на 5,2 процентных пункта </w:t>
      </w:r>
      <w:r w:rsidR="00554580">
        <w:rPr>
          <w:rFonts w:ascii="Times New Roman" w:hAnsi="Times New Roman"/>
          <w:sz w:val="24"/>
          <w:szCs w:val="24"/>
        </w:rPr>
        <w:br/>
      </w:r>
      <w:r w:rsidR="00056F63">
        <w:rPr>
          <w:rFonts w:ascii="Times New Roman" w:hAnsi="Times New Roman"/>
          <w:sz w:val="24"/>
          <w:szCs w:val="24"/>
        </w:rPr>
        <w:t>в 2017 году.</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lastRenderedPageBreak/>
        <w:t>Основной причиной уменьшения объема расходов на исполнение публичных нормативных обязательств является принятие ряда нормативных правовых актов области, влекущих сокращение объема выплат по публичным нормативным обязательствам, а также отсутствие в проекте закона об областном бюджете ассигнований, проектируемых за счет субвенций из федерального бюджета, которые предусматривают ряд выплат по публичным нормативным обязательствам.</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В соответствии с пунктом 6 части 1 статьи 4 Закона Амурской области от 31.08.2007 № 368-ОЗ «О бюджетном процессе в Амурской области» (с учетом изменений) одновременно с проектом закона об областном бюджете представляется перечень публичных нормативных обязательств, подлежащих исполнению за счет средств областного бюджета на очередной финансовый год и плановый период, с указанием объема, необходимого для реализации каждого из них.</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Согласно пояснительной записке к законопроекту формирование объема и структуры расходов областного бюджета на 2015-2017 годы осуществлялось, в том числе, с учетом безусловного выполнения действующих публичных нормативных обязательств.</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Вместе с тем обоснования расчетов планируемых бюджетных ассигнований областного бюджета, необходимых для финансового обеспечения выплат по публичным нормативным обязательствам, пояснительная записка не содержит.</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Отсутствие в пакете документов к законопроекту расчетов по определению объемов публичных нормативных обязательств не позволяет оценить реалистичность объемов средств, представленных в перечне публичных нормативных обязательств, подлежащих исполнению за счет средств областного бюджета на очередной финансовый год и плановый период.</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Исходя из практики исполнения бюджета 2014 года и ряда предыдущих финансовых лет, когда объем бюджетных ассигнований на исполнение публичных нормативных обязательств ежемесячно уточняется, контрольно-счетная палата обращала внимание на наличие фактов утверждения ассигнований в объемах, недостаточных для исполнения публичных нормативных обязательств.</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В Бюджетном послании Президента Российской Федерации Федеральному Собранию Российской Федерации от 13.06.2013 «О бюджетной политике в 2014-2016 годах» сформулирован ряд задач, определяющих основные направления и ориентиры бюджетной и налоговой политики на среднесрочную перспективу.</w:t>
      </w:r>
      <w:r w:rsidR="00554580">
        <w:rPr>
          <w:rFonts w:ascii="Times New Roman" w:hAnsi="Times New Roman"/>
          <w:sz w:val="24"/>
          <w:szCs w:val="24"/>
        </w:rPr>
        <w:t xml:space="preserve"> </w:t>
      </w:r>
      <w:r w:rsidRPr="00554580">
        <w:rPr>
          <w:rFonts w:ascii="Times New Roman" w:hAnsi="Times New Roman"/>
          <w:sz w:val="24"/>
          <w:szCs w:val="24"/>
        </w:rPr>
        <w:t>Одним из направлений бюджетной политики определено повышение прозрачности бюджетов и бюджетного процесса.</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Пунктом 6 статьи 21 Бюджетного кодекса Российской Федерации установлены единые для бюджетов бюджетной системы Российской Федерации группы и подгруппы видов расходов, что позволяет осуществлять наиболее глубокую детализацию расходов, тем самым обеспечивая прозрачность направления бюджетных средств.</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Указания</w:t>
      </w:r>
      <w:r w:rsidR="00554580">
        <w:rPr>
          <w:rFonts w:ascii="Times New Roman" w:hAnsi="Times New Roman"/>
          <w:sz w:val="24"/>
          <w:szCs w:val="24"/>
        </w:rPr>
        <w:t>ми</w:t>
      </w:r>
      <w:r w:rsidRPr="00554580">
        <w:rPr>
          <w:rFonts w:ascii="Times New Roman" w:hAnsi="Times New Roman"/>
          <w:sz w:val="24"/>
          <w:szCs w:val="24"/>
        </w:rPr>
        <w:t xml:space="preserve"> о порядке применения бюджетной классификации Российской Федерации, утвержденны</w:t>
      </w:r>
      <w:r w:rsidR="00554580">
        <w:rPr>
          <w:rFonts w:ascii="Times New Roman" w:hAnsi="Times New Roman"/>
          <w:sz w:val="24"/>
          <w:szCs w:val="24"/>
        </w:rPr>
        <w:t>ми</w:t>
      </w:r>
      <w:r w:rsidRPr="00554580">
        <w:rPr>
          <w:rFonts w:ascii="Times New Roman" w:hAnsi="Times New Roman"/>
          <w:sz w:val="24"/>
          <w:szCs w:val="24"/>
        </w:rPr>
        <w:t xml:space="preserve"> Приказом Минфина России от 01.07.2013 № 65н, </w:t>
      </w:r>
      <w:r w:rsidRPr="00554580">
        <w:rPr>
          <w:rFonts w:ascii="Times New Roman" w:eastAsiaTheme="minorHAnsi" w:hAnsi="Times New Roman"/>
          <w:bCs/>
          <w:iCs/>
          <w:sz w:val="24"/>
          <w:szCs w:val="24"/>
          <w:lang w:eastAsia="en-US"/>
        </w:rPr>
        <w:t>устан</w:t>
      </w:r>
      <w:r w:rsidR="00554580">
        <w:rPr>
          <w:rFonts w:ascii="Times New Roman" w:eastAsiaTheme="minorHAnsi" w:hAnsi="Times New Roman"/>
          <w:bCs/>
          <w:iCs/>
          <w:sz w:val="24"/>
          <w:szCs w:val="24"/>
          <w:lang w:eastAsia="en-US"/>
        </w:rPr>
        <w:t xml:space="preserve">овлены </w:t>
      </w:r>
      <w:r w:rsidRPr="00554580">
        <w:rPr>
          <w:rFonts w:ascii="Times New Roman" w:eastAsiaTheme="minorHAnsi" w:hAnsi="Times New Roman"/>
          <w:bCs/>
          <w:iCs/>
          <w:sz w:val="24"/>
          <w:szCs w:val="24"/>
          <w:lang w:eastAsia="en-US"/>
        </w:rPr>
        <w:t>принципы назначения, структур</w:t>
      </w:r>
      <w:r w:rsidR="00554580">
        <w:rPr>
          <w:rFonts w:ascii="Times New Roman" w:eastAsiaTheme="minorHAnsi" w:hAnsi="Times New Roman"/>
          <w:bCs/>
          <w:iCs/>
          <w:sz w:val="24"/>
          <w:szCs w:val="24"/>
          <w:lang w:eastAsia="en-US"/>
        </w:rPr>
        <w:t>а</w:t>
      </w:r>
      <w:r w:rsidRPr="00554580">
        <w:rPr>
          <w:rFonts w:ascii="Times New Roman" w:eastAsiaTheme="minorHAnsi" w:hAnsi="Times New Roman"/>
          <w:bCs/>
          <w:iCs/>
          <w:sz w:val="24"/>
          <w:szCs w:val="24"/>
          <w:lang w:eastAsia="en-US"/>
        </w:rPr>
        <w:t xml:space="preserve">, порядок формирования и применения кодов бюджетной классификации Российской Федерации, а также порядок присвоения кодов составным частям бюджетной классификации Российской Федерации, которые в соответствии с Бюджетным </w:t>
      </w:r>
      <w:hyperlink r:id="rId26" w:history="1">
        <w:r w:rsidR="00B97D9C">
          <w:rPr>
            <w:rFonts w:ascii="Times New Roman" w:eastAsiaTheme="minorHAnsi" w:hAnsi="Times New Roman"/>
            <w:bCs/>
            <w:iCs/>
            <w:sz w:val="24"/>
            <w:szCs w:val="24"/>
            <w:lang w:eastAsia="en-US"/>
          </w:rPr>
          <w:t>к</w:t>
        </w:r>
        <w:r w:rsidRPr="00554580">
          <w:rPr>
            <w:rFonts w:ascii="Times New Roman" w:eastAsiaTheme="minorHAnsi" w:hAnsi="Times New Roman"/>
            <w:bCs/>
            <w:iCs/>
            <w:sz w:val="24"/>
            <w:szCs w:val="24"/>
            <w:lang w:eastAsia="en-US"/>
          </w:rPr>
          <w:t>одексом</w:t>
        </w:r>
      </w:hyperlink>
      <w:r w:rsidRPr="00554580">
        <w:rPr>
          <w:rFonts w:ascii="Times New Roman" w:eastAsiaTheme="minorHAnsi" w:hAnsi="Times New Roman"/>
          <w:bCs/>
          <w:iCs/>
          <w:sz w:val="24"/>
          <w:szCs w:val="24"/>
          <w:lang w:eastAsia="en-US"/>
        </w:rPr>
        <w:t xml:space="preserve"> Российской Федерации являются едиными для бюджетов бюджетной системы Российской Федерации.</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Указаниями установлен единый для всех бюджетов Российской Федерации перечень видов расходов с детализацией по группам, подгруп</w:t>
      </w:r>
      <w:r w:rsidR="00B97D9C">
        <w:rPr>
          <w:rFonts w:ascii="Times New Roman" w:hAnsi="Times New Roman"/>
          <w:sz w:val="24"/>
          <w:szCs w:val="24"/>
        </w:rPr>
        <w:t>пам и элементам видов расходов.</w:t>
      </w:r>
    </w:p>
    <w:p w:rsidR="004C2E5E" w:rsidRPr="00554580" w:rsidRDefault="004C2E5E" w:rsidP="00554580">
      <w:pPr>
        <w:spacing w:after="0" w:line="240" w:lineRule="auto"/>
        <w:ind w:firstLine="709"/>
        <w:jc w:val="both"/>
        <w:rPr>
          <w:rFonts w:ascii="Times New Roman" w:hAnsi="Times New Roman"/>
          <w:b/>
          <w:i/>
          <w:sz w:val="24"/>
          <w:szCs w:val="24"/>
        </w:rPr>
      </w:pPr>
      <w:r w:rsidRPr="00554580">
        <w:rPr>
          <w:rFonts w:ascii="Times New Roman" w:hAnsi="Times New Roman"/>
          <w:sz w:val="24"/>
          <w:szCs w:val="24"/>
        </w:rPr>
        <w:t xml:space="preserve">Вместе с тем, </w:t>
      </w:r>
      <w:r w:rsidRPr="00554580">
        <w:rPr>
          <w:rFonts w:ascii="Times New Roman" w:hAnsi="Times New Roman"/>
          <w:b/>
          <w:i/>
          <w:sz w:val="24"/>
          <w:szCs w:val="24"/>
        </w:rPr>
        <w:t>в приложениях к проекту закона об областном бюджете на 2015 год и плановый период 2016 и 2017 годов «Ведомственная структура расходов областного бюджета» и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детализация произведена только до группы вида расходов включительно, что, по мнению контрольно-счетной палаты, снижает прозрачность направления бюджетных расходов.</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lastRenderedPageBreak/>
        <w:t>Примером снижения прозрачности бюджета является отражение в ведомственной структуре расходов областного бюджета ассигнований без выделения расходов на исполнение публичных нормативных обязательств.</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Согласно бюджетной классификации расходов социальные выплаты гражданам и выплаты гражданам несоциального характера по публичным нормативным обязательствам классифицируются как подгруппа кода вида расходов в группе «Социальное обеспечение и иные выплаты населению».</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 xml:space="preserve">Проект областного бюджета на 2015 год и на плановый период 2016 и 2017 годов сформирован на основе утвержденных Правительством Амурской области </w:t>
      </w:r>
      <w:r w:rsidRPr="00554580">
        <w:rPr>
          <w:rFonts w:ascii="Times New Roman" w:hAnsi="Times New Roman"/>
          <w:sz w:val="24"/>
          <w:szCs w:val="24"/>
        </w:rPr>
        <w:br/>
        <w:t>13 государственных программ, охватывающих основные сферы (направления) деятельности органов исполнительной власти области.</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Согласно Указаниям о порядке применения бюджетной классификации Российской Федерации виды расходов детализируют направление финансирования расходов бюджетов по целевым статьям классификации расходов, в том числе по целевым программам расходов бюджетов.</w:t>
      </w:r>
    </w:p>
    <w:p w:rsidR="004C2E5E" w:rsidRPr="00554580" w:rsidRDefault="004C2E5E" w:rsidP="00554580">
      <w:pPr>
        <w:spacing w:after="0" w:line="240" w:lineRule="auto"/>
        <w:ind w:firstLine="709"/>
        <w:jc w:val="both"/>
        <w:rPr>
          <w:rFonts w:ascii="Times New Roman" w:hAnsi="Times New Roman"/>
          <w:sz w:val="24"/>
          <w:szCs w:val="24"/>
        </w:rPr>
      </w:pPr>
      <w:r w:rsidRPr="00554580">
        <w:rPr>
          <w:rFonts w:ascii="Times New Roman" w:hAnsi="Times New Roman"/>
          <w:sz w:val="24"/>
          <w:szCs w:val="24"/>
        </w:rPr>
        <w:t xml:space="preserve">На рисунке </w:t>
      </w:r>
      <w:r w:rsidR="00554580" w:rsidRPr="00554580">
        <w:rPr>
          <w:rFonts w:ascii="Times New Roman" w:hAnsi="Times New Roman"/>
          <w:sz w:val="24"/>
          <w:szCs w:val="24"/>
        </w:rPr>
        <w:t>16</w:t>
      </w:r>
      <w:r w:rsidR="00554580">
        <w:rPr>
          <w:rFonts w:ascii="Times New Roman" w:hAnsi="Times New Roman"/>
          <w:sz w:val="24"/>
          <w:szCs w:val="24"/>
        </w:rPr>
        <w:t xml:space="preserve"> </w:t>
      </w:r>
      <w:r w:rsidRPr="00554580">
        <w:rPr>
          <w:rFonts w:ascii="Times New Roman" w:hAnsi="Times New Roman"/>
          <w:sz w:val="24"/>
          <w:szCs w:val="24"/>
        </w:rPr>
        <w:t xml:space="preserve">представлена структура расходов областного бюджета на 2015 год, </w:t>
      </w:r>
      <w:r w:rsidRPr="00554580">
        <w:rPr>
          <w:rFonts w:ascii="Times New Roman" w:hAnsi="Times New Roman"/>
          <w:sz w:val="24"/>
          <w:szCs w:val="24"/>
        </w:rPr>
        <w:br/>
        <w:t>с группировкой по видам расходов.</w:t>
      </w:r>
    </w:p>
    <w:p w:rsidR="00554580" w:rsidRPr="005B73D9" w:rsidRDefault="00554580" w:rsidP="004C2E5E">
      <w:pPr>
        <w:spacing w:after="0" w:line="240" w:lineRule="auto"/>
        <w:ind w:firstLine="709"/>
        <w:jc w:val="both"/>
        <w:rPr>
          <w:rFonts w:ascii="Times New Roman" w:hAnsi="Times New Roman"/>
          <w:sz w:val="24"/>
          <w:szCs w:val="24"/>
        </w:rPr>
      </w:pPr>
    </w:p>
    <w:p w:rsidR="004C2E5E" w:rsidRDefault="004C2E5E" w:rsidP="004C2E5E">
      <w:pPr>
        <w:spacing w:after="0" w:line="240" w:lineRule="auto"/>
        <w:jc w:val="both"/>
        <w:rPr>
          <w:rFonts w:ascii="Times New Roman" w:hAnsi="Times New Roman"/>
          <w:sz w:val="24"/>
          <w:szCs w:val="24"/>
        </w:rPr>
      </w:pPr>
      <w:r>
        <w:rPr>
          <w:noProof/>
        </w:rPr>
        <w:drawing>
          <wp:inline distT="0" distB="0" distL="0" distR="0" wp14:anchorId="00B6EE95" wp14:editId="04EB7584">
            <wp:extent cx="6115050" cy="39147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2E5E" w:rsidRPr="00BC6B6B" w:rsidRDefault="004C2E5E" w:rsidP="004C2E5E">
      <w:pPr>
        <w:autoSpaceDE w:val="0"/>
        <w:autoSpaceDN w:val="0"/>
        <w:adjustRightInd w:val="0"/>
        <w:spacing w:before="120" w:after="0" w:line="240" w:lineRule="auto"/>
        <w:ind w:left="2268" w:hanging="1588"/>
        <w:jc w:val="both"/>
        <w:outlineLvl w:val="3"/>
        <w:rPr>
          <w:rFonts w:ascii="Times New Roman" w:hAnsi="Times New Roman"/>
          <w:b/>
          <w:sz w:val="24"/>
          <w:szCs w:val="24"/>
        </w:rPr>
      </w:pPr>
      <w:r w:rsidRPr="00554580">
        <w:rPr>
          <w:rFonts w:ascii="Times New Roman" w:hAnsi="Times New Roman"/>
          <w:b/>
          <w:sz w:val="24"/>
          <w:szCs w:val="24"/>
        </w:rPr>
        <w:t xml:space="preserve">Рис. </w:t>
      </w:r>
      <w:r w:rsidR="00554580" w:rsidRPr="00554580">
        <w:rPr>
          <w:rFonts w:ascii="Times New Roman" w:hAnsi="Times New Roman"/>
          <w:b/>
          <w:sz w:val="24"/>
          <w:szCs w:val="24"/>
        </w:rPr>
        <w:t>16</w:t>
      </w:r>
      <w:r w:rsidRPr="00554580">
        <w:rPr>
          <w:rFonts w:ascii="Times New Roman" w:hAnsi="Times New Roman"/>
          <w:b/>
          <w:sz w:val="24"/>
          <w:szCs w:val="24"/>
        </w:rPr>
        <w:t xml:space="preserve"> –</w:t>
      </w:r>
      <w:r w:rsidRPr="00BC6B6B">
        <w:rPr>
          <w:rFonts w:ascii="Times New Roman" w:hAnsi="Times New Roman"/>
          <w:b/>
          <w:sz w:val="24"/>
          <w:szCs w:val="24"/>
        </w:rPr>
        <w:t xml:space="preserve"> Структура расходов областного бюджета на 201</w:t>
      </w:r>
      <w:r>
        <w:rPr>
          <w:rFonts w:ascii="Times New Roman" w:hAnsi="Times New Roman"/>
          <w:b/>
          <w:sz w:val="24"/>
          <w:szCs w:val="24"/>
        </w:rPr>
        <w:t>5</w:t>
      </w:r>
      <w:r w:rsidRPr="00BC6B6B">
        <w:rPr>
          <w:rFonts w:ascii="Times New Roman" w:hAnsi="Times New Roman"/>
          <w:b/>
          <w:sz w:val="24"/>
          <w:szCs w:val="24"/>
        </w:rPr>
        <w:t xml:space="preserve"> год по видам расходов</w:t>
      </w:r>
    </w:p>
    <w:p w:rsidR="00554580" w:rsidRDefault="00554580" w:rsidP="004C2E5E">
      <w:pPr>
        <w:tabs>
          <w:tab w:val="left" w:pos="720"/>
          <w:tab w:val="left" w:pos="9656"/>
        </w:tabs>
        <w:spacing w:after="0" w:line="240" w:lineRule="auto"/>
        <w:ind w:firstLine="680"/>
        <w:jc w:val="both"/>
        <w:rPr>
          <w:rFonts w:ascii="Times New Roman" w:hAnsi="Times New Roman"/>
          <w:sz w:val="24"/>
          <w:szCs w:val="24"/>
        </w:rPr>
      </w:pP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Наибольший объем расходов проекта областного бюджета на 2015 год приходится на межбюджетные трансферты – 17206887,5 тыс. рублей, в общем объеме расходов их доля составляет 48,0 процентов.</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Согласно законопроекту предоставление межбюджетных трансфертов в 2015 году другим бюджетам бюджетной системы будет осуществляться 13 главными распорядителями средств областного бюджета.</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Межбюджетные трансферты, предусмотренные министерству образования и науки Амурской области, составляют 6082931,6 тыс. рублей, или 35,4 процента общего объема межбюджетных трансфертов, предусмотренного в областном бюджете на 2015 год.</w:t>
      </w:r>
      <w:r w:rsidRPr="00F02FDF">
        <w:rPr>
          <w:rFonts w:ascii="Times New Roman" w:hAnsi="Times New Roman"/>
          <w:color w:val="4F81BD" w:themeColor="accent1"/>
          <w:sz w:val="24"/>
          <w:szCs w:val="24"/>
        </w:rPr>
        <w:t xml:space="preserve"> </w:t>
      </w:r>
      <w:r w:rsidRPr="00F02FDF">
        <w:rPr>
          <w:rFonts w:ascii="Times New Roman" w:hAnsi="Times New Roman"/>
          <w:sz w:val="24"/>
          <w:szCs w:val="24"/>
        </w:rPr>
        <w:t xml:space="preserve">Из них основную долю – 94,5 процента составляют межбюджетные трансферты на обеспечение </w:t>
      </w:r>
      <w:r w:rsidRPr="00F02FDF">
        <w:rPr>
          <w:rFonts w:ascii="Times New Roman" w:hAnsi="Times New Roman"/>
          <w:sz w:val="24"/>
          <w:szCs w:val="24"/>
        </w:rPr>
        <w:lastRenderedPageBreak/>
        <w:t>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В составе расходов министерства здравоохранения Амурской области межбюджетные трансферты предусмотрены в сумме 4899905,4 тыс. рублей, или </w:t>
      </w:r>
      <w:r w:rsidRPr="00F02FDF">
        <w:rPr>
          <w:rFonts w:ascii="Times New Roman" w:hAnsi="Times New Roman"/>
          <w:sz w:val="24"/>
          <w:szCs w:val="24"/>
        </w:rPr>
        <w:br/>
        <w:t>28,5 процента объема межбюджетных трансфертов, из которых 4882612,0 тыс. рублей составляют межбюджетные трансферты бюджету фонда обязательного медицинского страхования.</w:t>
      </w:r>
    </w:p>
    <w:p w:rsidR="004C2E5E" w:rsidRPr="00F02FDF" w:rsidRDefault="004C2E5E" w:rsidP="00F02FDF">
      <w:pPr>
        <w:autoSpaceDE w:val="0"/>
        <w:autoSpaceDN w:val="0"/>
        <w:adjustRightInd w:val="0"/>
        <w:spacing w:after="0" w:line="240" w:lineRule="auto"/>
        <w:ind w:firstLine="709"/>
        <w:jc w:val="both"/>
        <w:outlineLvl w:val="0"/>
        <w:rPr>
          <w:rFonts w:ascii="Times New Roman" w:hAnsi="Times New Roman"/>
          <w:sz w:val="24"/>
          <w:szCs w:val="24"/>
        </w:rPr>
      </w:pPr>
      <w:r w:rsidRPr="00F02FDF">
        <w:rPr>
          <w:rFonts w:ascii="Times New Roman" w:hAnsi="Times New Roman"/>
          <w:sz w:val="24"/>
          <w:szCs w:val="24"/>
        </w:rPr>
        <w:t>В целях финансового обеспечения расходных обязательств субъектов Российской Федерации, возникающих при осуществлении полномочий Российской Федерации в сфере обязательного медицинского страхования, переданных органам государственной власти субъектов Российской Федерации в соответствии с частью 2 статьи 6 Федерального закона от 29.11.2010 № 326-ФЗ «Об обязательном медицинском страховании в Российской Федерации», проектом федерального закона «О бюджете Федерального фонда обязательного медицинского страхования на 2015 год и на плановый период 2016 и 2017 годов», принятом в первом чтении, предусмотрено распределение из бюджета Федерального фонда ОМС субвенций, направляемых в бюджеты территориальных фондов ОМС.</w:t>
      </w:r>
    </w:p>
    <w:p w:rsidR="004C2E5E" w:rsidRPr="00F02FDF" w:rsidRDefault="004C2E5E" w:rsidP="00F02FDF">
      <w:pPr>
        <w:autoSpaceDE w:val="0"/>
        <w:autoSpaceDN w:val="0"/>
        <w:adjustRightInd w:val="0"/>
        <w:spacing w:after="0" w:line="240" w:lineRule="auto"/>
        <w:ind w:firstLine="709"/>
        <w:jc w:val="both"/>
        <w:outlineLvl w:val="0"/>
        <w:rPr>
          <w:rFonts w:ascii="Times New Roman" w:hAnsi="Times New Roman"/>
          <w:sz w:val="24"/>
          <w:szCs w:val="24"/>
        </w:rPr>
      </w:pPr>
      <w:r w:rsidRPr="00F02FDF">
        <w:rPr>
          <w:rFonts w:ascii="Times New Roman" w:hAnsi="Times New Roman"/>
          <w:sz w:val="24"/>
          <w:szCs w:val="24"/>
        </w:rPr>
        <w:t>Средства субвенции из бюджета Федерального фонда ОМС Территориальному фонду на 2015 год предусмотрены в объеме 10179880,1 тыс. рублей. По отношению к 2014 году объем средств субвенции вырос на 19,9 процента.</w:t>
      </w:r>
    </w:p>
    <w:p w:rsidR="004C2E5E" w:rsidRPr="00F02FDF" w:rsidRDefault="004C2E5E" w:rsidP="00F02FDF">
      <w:pPr>
        <w:autoSpaceDE w:val="0"/>
        <w:autoSpaceDN w:val="0"/>
        <w:adjustRightInd w:val="0"/>
        <w:spacing w:after="0" w:line="240" w:lineRule="auto"/>
        <w:ind w:firstLine="709"/>
        <w:jc w:val="both"/>
        <w:outlineLvl w:val="1"/>
        <w:rPr>
          <w:rFonts w:ascii="Times New Roman" w:hAnsi="Times New Roman"/>
          <w:b/>
          <w:sz w:val="24"/>
          <w:szCs w:val="24"/>
        </w:rPr>
      </w:pPr>
      <w:r w:rsidRPr="00F02FDF">
        <w:rPr>
          <w:rFonts w:ascii="Times New Roman" w:hAnsi="Times New Roman"/>
          <w:sz w:val="24"/>
          <w:szCs w:val="24"/>
        </w:rPr>
        <w:t>В соответствии с частью 3 статьи 23 Федерального закона от 29.11.2010 № 326-ФЗ «Об обязательном медицинском страховании в Российской Федерации»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w:t>
      </w:r>
    </w:p>
    <w:p w:rsidR="004C2E5E" w:rsidRPr="00F02FDF" w:rsidRDefault="004C2E5E" w:rsidP="00F02FDF">
      <w:pPr>
        <w:autoSpaceDE w:val="0"/>
        <w:autoSpaceDN w:val="0"/>
        <w:adjustRightInd w:val="0"/>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Согласно положениям части 3 статьи 27 вышеназванного Федерального закона условием предоставления субвенции является соответствие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28" w:history="1">
        <w:r w:rsidRPr="00F02FDF">
          <w:rPr>
            <w:rFonts w:ascii="Times New Roman" w:hAnsi="Times New Roman"/>
            <w:sz w:val="24"/>
            <w:szCs w:val="24"/>
          </w:rPr>
          <w:t>статьей 23</w:t>
        </w:r>
      </w:hyperlink>
      <w:r w:rsidRPr="00F02FDF">
        <w:rPr>
          <w:rFonts w:ascii="Times New Roman" w:hAnsi="Times New Roman"/>
          <w:sz w:val="24"/>
          <w:szCs w:val="24"/>
        </w:rPr>
        <w:t xml:space="preserve"> Федерального закона от 29.11.2010 № 326-ФЗ, и при условии перечисления в бюджет Федерального фонда ОМС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4C2E5E" w:rsidRPr="00F02FDF" w:rsidRDefault="004C2E5E" w:rsidP="00F02FDF">
      <w:pPr>
        <w:autoSpaceDE w:val="0"/>
        <w:autoSpaceDN w:val="0"/>
        <w:adjustRightInd w:val="0"/>
        <w:spacing w:after="0" w:line="240" w:lineRule="auto"/>
        <w:ind w:firstLine="709"/>
        <w:jc w:val="both"/>
        <w:outlineLvl w:val="1"/>
        <w:rPr>
          <w:rFonts w:ascii="Times New Roman" w:hAnsi="Times New Roman"/>
          <w:bCs/>
          <w:sz w:val="24"/>
          <w:szCs w:val="24"/>
        </w:rPr>
      </w:pPr>
      <w:r w:rsidRPr="00F02FDF">
        <w:rPr>
          <w:rFonts w:ascii="Times New Roman" w:hAnsi="Times New Roman"/>
          <w:sz w:val="24"/>
          <w:szCs w:val="24"/>
        </w:rPr>
        <w:t xml:space="preserve">В проекте закона Амурской области «Об областном бюджете на 2015 год и плановый период 2016 и 2017 годов» средства на обязательное медицинское страхование неработающего населения, направляемые в 2015 году в виде межбюджетных трансфертов в бюджет Федерального фонда ОМС, предусмотрены в размере 4882612,0 тыс. рублей, что соответствует расчетному объему в соответствии с требованиями </w:t>
      </w:r>
      <w:hyperlink r:id="rId29" w:history="1">
        <w:r w:rsidRPr="00F02FDF">
          <w:rPr>
            <w:rFonts w:ascii="Times New Roman" w:hAnsi="Times New Roman"/>
            <w:sz w:val="24"/>
            <w:szCs w:val="24"/>
          </w:rPr>
          <w:t>статьи 23</w:t>
        </w:r>
      </w:hyperlink>
      <w:r w:rsidRPr="00F02FDF">
        <w:rPr>
          <w:rFonts w:ascii="Times New Roman" w:hAnsi="Times New Roman"/>
          <w:sz w:val="24"/>
          <w:szCs w:val="24"/>
        </w:rPr>
        <w:t xml:space="preserve"> Федерального закона от 29.11.2010 № 326-ФЗ «Об обязательном медицинском страховании в Российской Федерации». П</w:t>
      </w:r>
      <w:r w:rsidRPr="00F02FDF">
        <w:rPr>
          <w:rFonts w:ascii="Times New Roman" w:hAnsi="Times New Roman"/>
          <w:bCs/>
          <w:sz w:val="24"/>
          <w:szCs w:val="24"/>
        </w:rPr>
        <w:t xml:space="preserve">латеж на неработающее население на 2015 год, входящий в структуру субвенции и рассчитанный в соответствии с методикой, увеличен в 2015 году </w:t>
      </w:r>
      <w:r w:rsidR="00B50619" w:rsidRPr="00F02FDF">
        <w:rPr>
          <w:rFonts w:ascii="Times New Roman" w:hAnsi="Times New Roman"/>
          <w:bCs/>
          <w:sz w:val="24"/>
          <w:szCs w:val="24"/>
        </w:rPr>
        <w:br/>
      </w:r>
      <w:r w:rsidRPr="00F02FDF">
        <w:rPr>
          <w:rFonts w:ascii="Times New Roman" w:hAnsi="Times New Roman"/>
          <w:bCs/>
          <w:sz w:val="24"/>
          <w:szCs w:val="24"/>
        </w:rPr>
        <w:t xml:space="preserve">на 1173685,5 тыс. рублей, или 31,6 процента. </w:t>
      </w:r>
      <w:r w:rsidRPr="00F02FDF">
        <w:rPr>
          <w:rFonts w:ascii="Times New Roman" w:hAnsi="Times New Roman"/>
          <w:sz w:val="24"/>
          <w:szCs w:val="24"/>
        </w:rPr>
        <w:t>На плановый период 2016 и 2017 годов средства на обязательное медицинское страхование неработающего населения предусмотрен</w:t>
      </w:r>
      <w:r w:rsidR="009C1959">
        <w:rPr>
          <w:rFonts w:ascii="Times New Roman" w:hAnsi="Times New Roman"/>
          <w:sz w:val="24"/>
          <w:szCs w:val="24"/>
        </w:rPr>
        <w:t>ы на уровне расходов 2015 года.</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Объем субсидий бюджетным, автономным учреждениям и иным некоммерческим организациям занимает вторую позицию в объеме расходов областного бюджета на </w:t>
      </w:r>
      <w:r w:rsidRPr="00F02FDF">
        <w:rPr>
          <w:rFonts w:ascii="Times New Roman" w:hAnsi="Times New Roman"/>
          <w:sz w:val="24"/>
          <w:szCs w:val="24"/>
        </w:rPr>
        <w:br/>
        <w:t xml:space="preserve">2015 год, его доля составляет 16,8 процента с увеличением к аналогичному показателю </w:t>
      </w:r>
      <w:r w:rsidR="00B50619" w:rsidRPr="00F02FDF">
        <w:rPr>
          <w:rFonts w:ascii="Times New Roman" w:hAnsi="Times New Roman"/>
          <w:sz w:val="24"/>
          <w:szCs w:val="24"/>
        </w:rPr>
        <w:br/>
      </w:r>
      <w:r w:rsidRPr="00F02FDF">
        <w:rPr>
          <w:rFonts w:ascii="Times New Roman" w:hAnsi="Times New Roman"/>
          <w:sz w:val="24"/>
          <w:szCs w:val="24"/>
        </w:rPr>
        <w:t xml:space="preserve">2014 года на 1,3 процентных пункта. При этом, в суммовом выражении бюджетные ассигнования на 2015 год меньше плановых назначений на 2014 год на 1802362,3 тыс. рублей, несмотря на то, что </w:t>
      </w:r>
      <w:r w:rsidR="00513D81">
        <w:rPr>
          <w:rFonts w:ascii="Times New Roman" w:hAnsi="Times New Roman"/>
          <w:sz w:val="24"/>
          <w:szCs w:val="24"/>
        </w:rPr>
        <w:t>с</w:t>
      </w:r>
      <w:r w:rsidRPr="00F02FDF">
        <w:rPr>
          <w:rFonts w:ascii="Times New Roman" w:hAnsi="Times New Roman"/>
          <w:sz w:val="24"/>
          <w:szCs w:val="24"/>
        </w:rPr>
        <w:t xml:space="preserve"> 2015 год</w:t>
      </w:r>
      <w:r w:rsidR="00513D81">
        <w:rPr>
          <w:rFonts w:ascii="Times New Roman" w:hAnsi="Times New Roman"/>
          <w:sz w:val="24"/>
          <w:szCs w:val="24"/>
        </w:rPr>
        <w:t>а</w:t>
      </w:r>
      <w:r w:rsidRPr="00F02FDF">
        <w:rPr>
          <w:rFonts w:ascii="Times New Roman" w:hAnsi="Times New Roman"/>
          <w:sz w:val="24"/>
          <w:szCs w:val="24"/>
        </w:rPr>
        <w:t xml:space="preserve"> предусмотрено предоставление субсидий частным общеобразовательным организациям, осуществляющим образовательную деятельность по </w:t>
      </w:r>
      <w:r w:rsidRPr="00F02FDF">
        <w:rPr>
          <w:rFonts w:ascii="Times New Roman" w:hAnsi="Times New Roman"/>
          <w:sz w:val="24"/>
          <w:szCs w:val="24"/>
        </w:rPr>
        <w:lastRenderedPageBreak/>
        <w:t xml:space="preserve">имеющим государственную аккредитацию основным общеобразовательным программам и частным дошкольным образовательным организациям в сумме 49217,2 тыс. рублей </w:t>
      </w:r>
      <w:r w:rsidR="00B50619" w:rsidRPr="00F02FDF">
        <w:rPr>
          <w:rFonts w:ascii="Times New Roman" w:hAnsi="Times New Roman"/>
          <w:sz w:val="24"/>
          <w:szCs w:val="24"/>
        </w:rPr>
        <w:br/>
      </w:r>
      <w:r w:rsidRPr="00F02FDF">
        <w:rPr>
          <w:rFonts w:ascii="Times New Roman" w:hAnsi="Times New Roman"/>
          <w:sz w:val="24"/>
          <w:szCs w:val="24"/>
        </w:rPr>
        <w:t>(в 2014 году данное финансовое обеспечение осуществляется в форме межбюджетных трансфертов).</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Доля расходов на социальное обеспечение и иные выплаты населению составляет </w:t>
      </w:r>
      <w:r w:rsidRPr="00F02FDF">
        <w:rPr>
          <w:rFonts w:ascii="Times New Roman" w:hAnsi="Times New Roman"/>
          <w:sz w:val="24"/>
          <w:szCs w:val="24"/>
        </w:rPr>
        <w:br/>
        <w:t xml:space="preserve">10,4 процента общего объема расходов, или 3738298,0 тыс. рублей, из которых </w:t>
      </w:r>
      <w:r w:rsidR="00B50619" w:rsidRPr="00F02FDF">
        <w:rPr>
          <w:rFonts w:ascii="Times New Roman" w:hAnsi="Times New Roman"/>
          <w:sz w:val="24"/>
          <w:szCs w:val="24"/>
        </w:rPr>
        <w:br/>
      </w:r>
      <w:r w:rsidRPr="00F02FDF">
        <w:rPr>
          <w:rFonts w:ascii="Times New Roman" w:hAnsi="Times New Roman"/>
          <w:sz w:val="24"/>
          <w:szCs w:val="24"/>
        </w:rPr>
        <w:t xml:space="preserve">3368822,3 тыс. рублей приходится на министерство социальной защиты населения Амурской области. Помимо министерства социальной защиты населения области расходы на социальное обеспечение и иные выплаты населению на 2015 год предусмотрены еще </w:t>
      </w:r>
      <w:r w:rsidR="00B50619" w:rsidRPr="00F02FDF">
        <w:rPr>
          <w:rFonts w:ascii="Times New Roman" w:hAnsi="Times New Roman"/>
          <w:sz w:val="24"/>
          <w:szCs w:val="24"/>
        </w:rPr>
        <w:br/>
      </w:r>
      <w:r w:rsidRPr="00F02FDF">
        <w:rPr>
          <w:rFonts w:ascii="Times New Roman" w:hAnsi="Times New Roman"/>
          <w:sz w:val="24"/>
          <w:szCs w:val="24"/>
        </w:rPr>
        <w:t>8 главным распорядителям средств областного бюджета.</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Утвержденные плановые показатели на текущий год на социальное обеспечение и социальные выплаты населению составляют 8504576,2 тыс. рублей. Отношение проектируемых показателей на 2015 год к плановым назначениям 2014 года составляет </w:t>
      </w:r>
      <w:r w:rsidRPr="00F02FDF">
        <w:rPr>
          <w:rFonts w:ascii="Times New Roman" w:hAnsi="Times New Roman"/>
          <w:sz w:val="24"/>
          <w:szCs w:val="24"/>
        </w:rPr>
        <w:br/>
        <w:t>44,0 процента.</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В проектировках областного бюджета не учтены ассигнования на социальное обеспечение и социальные выплаты населению, предусмотренные в проекте федерального бюджета на 2015 год и плановый период на 2016 и 2017 годы, на осуществление </w:t>
      </w:r>
      <w:r w:rsidR="00A231CD" w:rsidRPr="00F02FDF">
        <w:rPr>
          <w:rFonts w:ascii="Times New Roman" w:hAnsi="Times New Roman"/>
          <w:sz w:val="24"/>
          <w:szCs w:val="24"/>
        </w:rPr>
        <w:t xml:space="preserve">в 2015 году следующих </w:t>
      </w:r>
      <w:r w:rsidRPr="00F02FDF">
        <w:rPr>
          <w:rFonts w:ascii="Times New Roman" w:hAnsi="Times New Roman"/>
          <w:sz w:val="24"/>
          <w:szCs w:val="24"/>
        </w:rPr>
        <w:t>федеральных полномочий:</w:t>
      </w:r>
    </w:p>
    <w:p w:rsidR="004C2E5E" w:rsidRPr="00F02FDF" w:rsidRDefault="004C2E5E" w:rsidP="00DA5F4F">
      <w:pPr>
        <w:pStyle w:val="ad"/>
        <w:numPr>
          <w:ilvl w:val="0"/>
          <w:numId w:val="9"/>
        </w:numPr>
        <w:tabs>
          <w:tab w:val="left" w:pos="720"/>
          <w:tab w:val="left" w:pos="993"/>
          <w:tab w:val="left" w:pos="9656"/>
        </w:tabs>
        <w:spacing w:after="0" w:line="240" w:lineRule="auto"/>
        <w:ind w:left="0" w:firstLine="709"/>
        <w:jc w:val="both"/>
        <w:rPr>
          <w:rFonts w:ascii="Times New Roman" w:hAnsi="Times New Roman"/>
          <w:sz w:val="24"/>
          <w:szCs w:val="24"/>
        </w:rPr>
      </w:pPr>
      <w:r w:rsidRPr="00F02FDF">
        <w:rPr>
          <w:rFonts w:ascii="Times New Roman" w:hAnsi="Times New Roman"/>
          <w:sz w:val="24"/>
          <w:szCs w:val="24"/>
        </w:rPr>
        <w:t>социальные выплаты на оплату жилищно-коммунальных услуг отдельным категориям граждан – 913891,0 тыс. рублей;</w:t>
      </w:r>
    </w:p>
    <w:p w:rsidR="004C2E5E" w:rsidRPr="00F02FDF" w:rsidRDefault="004C2E5E" w:rsidP="00DA5F4F">
      <w:pPr>
        <w:pStyle w:val="ad"/>
        <w:numPr>
          <w:ilvl w:val="0"/>
          <w:numId w:val="9"/>
        </w:numPr>
        <w:tabs>
          <w:tab w:val="left" w:pos="720"/>
          <w:tab w:val="left" w:pos="993"/>
          <w:tab w:val="left" w:pos="9656"/>
        </w:tabs>
        <w:spacing w:after="0" w:line="240" w:lineRule="auto"/>
        <w:ind w:left="0" w:firstLine="709"/>
        <w:jc w:val="both"/>
        <w:rPr>
          <w:rFonts w:ascii="Times New Roman" w:hAnsi="Times New Roman"/>
          <w:sz w:val="24"/>
          <w:szCs w:val="24"/>
        </w:rPr>
      </w:pPr>
      <w:r w:rsidRPr="00F02FDF">
        <w:rPr>
          <w:rFonts w:ascii="Times New Roman" w:hAnsi="Times New Roman"/>
          <w:sz w:val="24"/>
          <w:szCs w:val="24"/>
        </w:rPr>
        <w:t>ежемесячное пособие по уходу за ребенком до достижения им возраста полутора лет категориям граждан,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 – 419117,9 тыс. рублей;</w:t>
      </w:r>
    </w:p>
    <w:p w:rsidR="004C2E5E" w:rsidRPr="00F02FDF" w:rsidRDefault="004C2E5E" w:rsidP="00DA5F4F">
      <w:pPr>
        <w:pStyle w:val="ad"/>
        <w:numPr>
          <w:ilvl w:val="0"/>
          <w:numId w:val="9"/>
        </w:numPr>
        <w:tabs>
          <w:tab w:val="left" w:pos="720"/>
          <w:tab w:val="left" w:pos="993"/>
          <w:tab w:val="left" w:pos="9656"/>
        </w:tabs>
        <w:spacing w:after="0" w:line="240" w:lineRule="auto"/>
        <w:ind w:left="0" w:firstLine="709"/>
        <w:jc w:val="both"/>
        <w:rPr>
          <w:rFonts w:ascii="Times New Roman" w:hAnsi="Times New Roman"/>
          <w:sz w:val="24"/>
          <w:szCs w:val="24"/>
        </w:rPr>
      </w:pPr>
      <w:r w:rsidRPr="00F02FDF">
        <w:rPr>
          <w:rFonts w:ascii="Times New Roman" w:hAnsi="Times New Roman"/>
          <w:sz w:val="24"/>
          <w:szCs w:val="24"/>
        </w:rPr>
        <w:t>отдельные меры социальной поддержки граждан, подвергшихся воздействию радиации – 1620,1 тыс. рублей;</w:t>
      </w:r>
    </w:p>
    <w:p w:rsidR="004C2E5E" w:rsidRPr="00F02FDF" w:rsidRDefault="004C2E5E" w:rsidP="00DA5F4F">
      <w:pPr>
        <w:pStyle w:val="ad"/>
        <w:numPr>
          <w:ilvl w:val="0"/>
          <w:numId w:val="9"/>
        </w:numPr>
        <w:tabs>
          <w:tab w:val="left" w:pos="720"/>
          <w:tab w:val="left" w:pos="993"/>
          <w:tab w:val="left" w:pos="9656"/>
        </w:tabs>
        <w:spacing w:after="0" w:line="240" w:lineRule="auto"/>
        <w:ind w:left="0" w:firstLine="709"/>
        <w:jc w:val="both"/>
        <w:rPr>
          <w:rFonts w:ascii="Times New Roman" w:hAnsi="Times New Roman"/>
          <w:sz w:val="24"/>
          <w:szCs w:val="24"/>
        </w:rPr>
      </w:pPr>
      <w:r w:rsidRPr="00F02FDF">
        <w:rPr>
          <w:rFonts w:ascii="Times New Roman" w:hAnsi="Times New Roman"/>
          <w:sz w:val="24"/>
          <w:szCs w:val="24"/>
        </w:rPr>
        <w:t>выплата компенсации страховой премии инвалидам, получившим транспортные средства – 123,9 тыс. рублей;</w:t>
      </w:r>
    </w:p>
    <w:p w:rsidR="004C2E5E" w:rsidRPr="00F02FDF" w:rsidRDefault="004C2E5E" w:rsidP="00DA5F4F">
      <w:pPr>
        <w:pStyle w:val="ad"/>
        <w:numPr>
          <w:ilvl w:val="0"/>
          <w:numId w:val="9"/>
        </w:numPr>
        <w:tabs>
          <w:tab w:val="left" w:pos="720"/>
          <w:tab w:val="left" w:pos="993"/>
          <w:tab w:val="left" w:pos="9656"/>
        </w:tabs>
        <w:spacing w:after="0" w:line="240" w:lineRule="auto"/>
        <w:ind w:left="0" w:firstLine="709"/>
        <w:jc w:val="both"/>
        <w:rPr>
          <w:rFonts w:ascii="Times New Roman" w:hAnsi="Times New Roman"/>
          <w:sz w:val="24"/>
          <w:szCs w:val="24"/>
        </w:rPr>
      </w:pPr>
      <w:r w:rsidRPr="00F02FDF">
        <w:rPr>
          <w:rFonts w:ascii="Times New Roman" w:hAnsi="Times New Roman"/>
          <w:sz w:val="24"/>
          <w:szCs w:val="24"/>
        </w:rPr>
        <w:t>реализация мероприятий по обеспечению жильем отдельных категорий граждан – 89928,0 тыс. рублей;</w:t>
      </w:r>
    </w:p>
    <w:p w:rsidR="004C2E5E" w:rsidRPr="00F02FDF" w:rsidRDefault="004C2E5E" w:rsidP="00DA5F4F">
      <w:pPr>
        <w:pStyle w:val="ad"/>
        <w:numPr>
          <w:ilvl w:val="0"/>
          <w:numId w:val="9"/>
        </w:numPr>
        <w:tabs>
          <w:tab w:val="left" w:pos="720"/>
          <w:tab w:val="left" w:pos="993"/>
          <w:tab w:val="left" w:pos="9656"/>
        </w:tabs>
        <w:spacing w:after="0" w:line="240" w:lineRule="auto"/>
        <w:ind w:left="0" w:firstLine="709"/>
        <w:jc w:val="both"/>
        <w:rPr>
          <w:rFonts w:ascii="Times New Roman" w:hAnsi="Times New Roman"/>
          <w:sz w:val="24"/>
          <w:szCs w:val="24"/>
        </w:rPr>
      </w:pPr>
      <w:r w:rsidRPr="00F02FDF">
        <w:rPr>
          <w:rFonts w:ascii="Times New Roman" w:hAnsi="Times New Roman"/>
          <w:sz w:val="24"/>
          <w:szCs w:val="24"/>
        </w:rPr>
        <w:t>ежегодная денежная выплата лицам, награжденным нагрудным знаком «Почетный донор России» - 30697,5 тыс. рублей и ряд других выплат.</w:t>
      </w:r>
    </w:p>
    <w:p w:rsidR="004C2E5E" w:rsidRPr="00F02FDF" w:rsidRDefault="004C2E5E" w:rsidP="00F02FDF">
      <w:pPr>
        <w:tabs>
          <w:tab w:val="left" w:pos="720"/>
          <w:tab w:val="left" w:pos="993"/>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Объем расходов на обслуживание государственного долга составляет </w:t>
      </w:r>
      <w:r w:rsidRPr="00F02FDF">
        <w:rPr>
          <w:rFonts w:ascii="Times New Roman" w:hAnsi="Times New Roman"/>
          <w:sz w:val="24"/>
          <w:szCs w:val="24"/>
        </w:rPr>
        <w:br/>
        <w:t>2113884,8 тыс. рублей и занимает долю в общем объеме расходов областного бюджета на уровне 5,9 процента, что выше совокупного объема расходов, запланированного по виду расходов «Закупка товаров, работ и услуг для государственных (муниципальных) нужд» и виду расходов «Иные бюджетные ассигнования», который включает расходы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расходы на исполнение судебных актов, расходы на уплату налогов, сборо</w:t>
      </w:r>
      <w:r w:rsidR="00AA1D84">
        <w:rPr>
          <w:rFonts w:ascii="Times New Roman" w:hAnsi="Times New Roman"/>
          <w:sz w:val="24"/>
          <w:szCs w:val="24"/>
        </w:rPr>
        <w:t>в и иных платежей и ряд других.</w:t>
      </w:r>
    </w:p>
    <w:p w:rsidR="004C2E5E" w:rsidRPr="00F02FDF" w:rsidRDefault="004C2E5E" w:rsidP="00F02FDF">
      <w:pPr>
        <w:tabs>
          <w:tab w:val="left" w:pos="720"/>
          <w:tab w:val="left" w:pos="993"/>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Объем расходов на обслуживание государственного долга на 2015 год спроектирован с ростом к аналогичному объему расходов на текущий год на 546320,4 тыс. рублей</w:t>
      </w:r>
      <w:r w:rsidR="00B50619" w:rsidRPr="00F02FDF">
        <w:rPr>
          <w:rFonts w:ascii="Times New Roman" w:hAnsi="Times New Roman"/>
          <w:sz w:val="24"/>
          <w:szCs w:val="24"/>
        </w:rPr>
        <w:t>.</w:t>
      </w:r>
      <w:r w:rsidRPr="00F02FDF">
        <w:rPr>
          <w:rFonts w:ascii="Times New Roman" w:hAnsi="Times New Roman"/>
          <w:sz w:val="24"/>
          <w:szCs w:val="24"/>
        </w:rPr>
        <w:t xml:space="preserve"> Согласно программе государственных внутренних заимствований Амурской области на </w:t>
      </w:r>
      <w:r w:rsidR="00B50619" w:rsidRPr="00F02FDF">
        <w:rPr>
          <w:rFonts w:ascii="Times New Roman" w:hAnsi="Times New Roman"/>
          <w:sz w:val="24"/>
          <w:szCs w:val="24"/>
        </w:rPr>
        <w:br/>
      </w:r>
      <w:r w:rsidRPr="00F02FDF">
        <w:rPr>
          <w:rFonts w:ascii="Times New Roman" w:hAnsi="Times New Roman"/>
          <w:sz w:val="24"/>
          <w:szCs w:val="24"/>
        </w:rPr>
        <w:t>2015 год и плановый период 2016 и 2017 годов в 2015 году планируется привлечение кредитов в сумме 22418003,9 тыс. рублей, что выше аналогичного показателя 2014 года на 4427339,6 тыс. рублей.</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Наименьший удельный вес имеют расходы, отнесенные к виду расходов «Капитальные вложения в объекты недвижимого имущества государственной (муниципальной) собственности» - 2,2 процента с объемом ассигнований в сумме </w:t>
      </w:r>
      <w:r w:rsidR="00B50619" w:rsidRPr="00F02FDF">
        <w:rPr>
          <w:rFonts w:ascii="Times New Roman" w:hAnsi="Times New Roman"/>
          <w:sz w:val="24"/>
          <w:szCs w:val="24"/>
        </w:rPr>
        <w:br/>
      </w:r>
      <w:r w:rsidRPr="00F02FDF">
        <w:rPr>
          <w:rFonts w:ascii="Times New Roman" w:hAnsi="Times New Roman"/>
          <w:sz w:val="24"/>
          <w:szCs w:val="24"/>
        </w:rPr>
        <w:t>779136,9 тыс. рублей. По сравнению с текущим годом объем расходов на капитальные вложения на 2015 год спроектирован с уменьшением на 4052887,8 тыс. рублей.</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lastRenderedPageBreak/>
        <w:t>Оценка ожидаемого исполнения областного бюджета за 2014 год представлена в пакете документов к законопроекту в разрезе разделов, подразделов к</w:t>
      </w:r>
      <w:r w:rsidR="00AA1D84">
        <w:rPr>
          <w:rFonts w:ascii="Times New Roman" w:hAnsi="Times New Roman"/>
          <w:sz w:val="24"/>
          <w:szCs w:val="24"/>
        </w:rPr>
        <w:t>лассификации расходов бюджетов.</w:t>
      </w:r>
    </w:p>
    <w:p w:rsidR="004C2E5E" w:rsidRPr="00F02FDF" w:rsidRDefault="00AA1D84" w:rsidP="00F02FDF">
      <w:pPr>
        <w:tabs>
          <w:tab w:val="left" w:pos="720"/>
          <w:tab w:val="left" w:pos="9656"/>
        </w:tabs>
        <w:spacing w:after="0" w:line="240" w:lineRule="auto"/>
        <w:ind w:firstLine="709"/>
        <w:jc w:val="both"/>
        <w:rPr>
          <w:rFonts w:ascii="Times New Roman" w:hAnsi="Times New Roman"/>
          <w:sz w:val="24"/>
          <w:szCs w:val="24"/>
        </w:rPr>
      </w:pPr>
      <w:r>
        <w:rPr>
          <w:rFonts w:ascii="Times New Roman" w:hAnsi="Times New Roman"/>
          <w:sz w:val="24"/>
          <w:szCs w:val="24"/>
        </w:rPr>
        <w:t>Закон об о</w:t>
      </w:r>
      <w:r w:rsidR="004C2E5E" w:rsidRPr="00F02FDF">
        <w:rPr>
          <w:rFonts w:ascii="Times New Roman" w:hAnsi="Times New Roman"/>
          <w:sz w:val="24"/>
          <w:szCs w:val="24"/>
        </w:rPr>
        <w:t>бластно</w:t>
      </w:r>
      <w:r>
        <w:rPr>
          <w:rFonts w:ascii="Times New Roman" w:hAnsi="Times New Roman"/>
          <w:sz w:val="24"/>
          <w:szCs w:val="24"/>
        </w:rPr>
        <w:t>м</w:t>
      </w:r>
      <w:r w:rsidR="004C2E5E" w:rsidRPr="00F02FDF">
        <w:rPr>
          <w:rFonts w:ascii="Times New Roman" w:hAnsi="Times New Roman"/>
          <w:sz w:val="24"/>
          <w:szCs w:val="24"/>
        </w:rPr>
        <w:t xml:space="preserve"> бюджет</w:t>
      </w:r>
      <w:r>
        <w:rPr>
          <w:rFonts w:ascii="Times New Roman" w:hAnsi="Times New Roman"/>
          <w:sz w:val="24"/>
          <w:szCs w:val="24"/>
        </w:rPr>
        <w:t>е</w:t>
      </w:r>
      <w:r w:rsidR="004C2E5E" w:rsidRPr="00F02FDF">
        <w:rPr>
          <w:rFonts w:ascii="Times New Roman" w:hAnsi="Times New Roman"/>
          <w:sz w:val="24"/>
          <w:szCs w:val="24"/>
        </w:rPr>
        <w:t>, начиная с 2014 года, не предусматривает группировку расходов по разделам и подразделам бюджетной к</w:t>
      </w:r>
      <w:r>
        <w:rPr>
          <w:rFonts w:ascii="Times New Roman" w:hAnsi="Times New Roman"/>
          <w:sz w:val="24"/>
          <w:szCs w:val="24"/>
        </w:rPr>
        <w:t>лассификации расходов бюджетов.</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Приложения к закону области об областном бюджете группируют расходы:</w:t>
      </w:r>
    </w:p>
    <w:p w:rsidR="004C2E5E" w:rsidRPr="00AA1D84" w:rsidRDefault="004C2E5E" w:rsidP="00AA1D84">
      <w:pPr>
        <w:pStyle w:val="ad"/>
        <w:numPr>
          <w:ilvl w:val="0"/>
          <w:numId w:val="33"/>
        </w:numPr>
        <w:tabs>
          <w:tab w:val="left" w:pos="1276"/>
          <w:tab w:val="left" w:pos="9656"/>
        </w:tabs>
        <w:spacing w:after="0" w:line="240" w:lineRule="auto"/>
        <w:ind w:left="0" w:firstLine="709"/>
        <w:jc w:val="both"/>
        <w:rPr>
          <w:rFonts w:ascii="Times New Roman" w:hAnsi="Times New Roman"/>
          <w:sz w:val="24"/>
          <w:szCs w:val="24"/>
        </w:rPr>
      </w:pPr>
      <w:r w:rsidRPr="00AA1D84">
        <w:rPr>
          <w:rFonts w:ascii="Times New Roman" w:hAnsi="Times New Roman"/>
          <w:sz w:val="24"/>
          <w:szCs w:val="24"/>
        </w:rPr>
        <w:t xml:space="preserve">по главным распорядителям бюджетных средств, целевым статьям (государственным программам и непрограммным направлениям деятельности), группам видов расходов классификации расходов бюджетов (приложение </w:t>
      </w:r>
      <w:r w:rsidR="00B50619" w:rsidRPr="00AA1D84">
        <w:rPr>
          <w:rFonts w:ascii="Times New Roman" w:hAnsi="Times New Roman"/>
          <w:sz w:val="24"/>
          <w:szCs w:val="24"/>
        </w:rPr>
        <w:t xml:space="preserve">№ 9 </w:t>
      </w:r>
      <w:r w:rsidRPr="00AA1D84">
        <w:rPr>
          <w:rFonts w:ascii="Times New Roman" w:hAnsi="Times New Roman"/>
          <w:sz w:val="24"/>
          <w:szCs w:val="24"/>
        </w:rPr>
        <w:t>«Ведомственная структура расходов областного бюджета»);</w:t>
      </w:r>
    </w:p>
    <w:p w:rsidR="004C2E5E" w:rsidRPr="00AA1D84" w:rsidRDefault="004C2E5E" w:rsidP="00AA1D84">
      <w:pPr>
        <w:pStyle w:val="ad"/>
        <w:numPr>
          <w:ilvl w:val="0"/>
          <w:numId w:val="33"/>
        </w:numPr>
        <w:tabs>
          <w:tab w:val="left" w:pos="1276"/>
          <w:tab w:val="left" w:pos="9656"/>
        </w:tabs>
        <w:spacing w:after="0" w:line="240" w:lineRule="auto"/>
        <w:ind w:left="0" w:firstLine="709"/>
        <w:jc w:val="both"/>
        <w:rPr>
          <w:rFonts w:ascii="Times New Roman" w:hAnsi="Times New Roman"/>
          <w:sz w:val="24"/>
          <w:szCs w:val="24"/>
        </w:rPr>
      </w:pPr>
      <w:r w:rsidRPr="00AA1D84">
        <w:rPr>
          <w:rFonts w:ascii="Times New Roman" w:hAnsi="Times New Roman"/>
          <w:sz w:val="24"/>
          <w:szCs w:val="24"/>
        </w:rPr>
        <w:t xml:space="preserve">по целевым статьям (государственным программам и непрограммным направлениям деятельности), группам видов расходов классификации расходов бюджетов (приложение </w:t>
      </w:r>
      <w:r w:rsidR="00B50619" w:rsidRPr="00AA1D84">
        <w:rPr>
          <w:rFonts w:ascii="Times New Roman" w:hAnsi="Times New Roman"/>
          <w:sz w:val="24"/>
          <w:szCs w:val="24"/>
        </w:rPr>
        <w:t xml:space="preserve">№ 8 </w:t>
      </w:r>
      <w:r w:rsidRPr="00AA1D84">
        <w:rPr>
          <w:rFonts w:ascii="Times New Roman" w:hAnsi="Times New Roman"/>
          <w:sz w:val="24"/>
          <w:szCs w:val="24"/>
        </w:rPr>
        <w:t>«Распределение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В пакете документов, представленных одновременно с проектом закона области об областном бюджете на 2015 год и плановый период 2016 и 2017 годов, также отсутствует информация о расходах в разрезе разделов, подразделов классификации расходов бюджетов.</w:t>
      </w:r>
    </w:p>
    <w:p w:rsidR="004C2E5E" w:rsidRPr="00F02FDF" w:rsidRDefault="004C2E5E" w:rsidP="00F02FDF">
      <w:pPr>
        <w:tabs>
          <w:tab w:val="left" w:pos="720"/>
          <w:tab w:val="left" w:pos="9656"/>
        </w:tabs>
        <w:spacing w:after="0" w:line="240" w:lineRule="auto"/>
        <w:ind w:firstLine="709"/>
        <w:jc w:val="both"/>
        <w:rPr>
          <w:rFonts w:ascii="Times New Roman" w:hAnsi="Times New Roman"/>
          <w:b/>
          <w:i/>
          <w:sz w:val="24"/>
          <w:szCs w:val="24"/>
        </w:rPr>
      </w:pPr>
      <w:r w:rsidRPr="00F02FDF">
        <w:rPr>
          <w:rFonts w:ascii="Times New Roman" w:hAnsi="Times New Roman"/>
          <w:b/>
          <w:i/>
          <w:sz w:val="24"/>
          <w:szCs w:val="24"/>
        </w:rPr>
        <w:t>Таким образом, информация об ожидаемом исполнении областного бюджета представ</w:t>
      </w:r>
      <w:r w:rsidR="00B50619" w:rsidRPr="00F02FDF">
        <w:rPr>
          <w:rFonts w:ascii="Times New Roman" w:hAnsi="Times New Roman"/>
          <w:b/>
          <w:i/>
          <w:sz w:val="24"/>
          <w:szCs w:val="24"/>
        </w:rPr>
        <w:t>лена в виде,</w:t>
      </w:r>
      <w:r w:rsidRPr="00F02FDF">
        <w:rPr>
          <w:rFonts w:ascii="Times New Roman" w:hAnsi="Times New Roman"/>
          <w:b/>
          <w:i/>
          <w:sz w:val="24"/>
          <w:szCs w:val="24"/>
        </w:rPr>
        <w:t xml:space="preserve"> несопоставимом со структурой утвержденных (2014 год) и проектируемых (2015</w:t>
      </w:r>
      <w:r w:rsidR="00AA1D84">
        <w:rPr>
          <w:rFonts w:ascii="Times New Roman" w:hAnsi="Times New Roman"/>
          <w:b/>
          <w:i/>
          <w:sz w:val="24"/>
          <w:szCs w:val="24"/>
        </w:rPr>
        <w:t>-2017 годы) бюджетных расходов.</w:t>
      </w:r>
    </w:p>
    <w:p w:rsidR="004C2E5E" w:rsidRPr="00F02FDF" w:rsidRDefault="004C2E5E" w:rsidP="00F02FDF">
      <w:pPr>
        <w:tabs>
          <w:tab w:val="left" w:pos="720"/>
          <w:tab w:val="left" w:pos="9656"/>
        </w:tabs>
        <w:spacing w:after="0" w:line="240" w:lineRule="auto"/>
        <w:ind w:firstLine="709"/>
        <w:jc w:val="both"/>
        <w:rPr>
          <w:rFonts w:ascii="Times New Roman" w:hAnsi="Times New Roman"/>
          <w:b/>
          <w:i/>
          <w:sz w:val="24"/>
          <w:szCs w:val="24"/>
        </w:rPr>
      </w:pPr>
      <w:r w:rsidRPr="00F02FDF">
        <w:rPr>
          <w:rFonts w:ascii="Times New Roman" w:hAnsi="Times New Roman"/>
          <w:b/>
          <w:i/>
          <w:sz w:val="24"/>
          <w:szCs w:val="24"/>
        </w:rPr>
        <w:t>Поскольку с 2014 года формирование областного бюджета осуществляется в программном формате</w:t>
      </w:r>
      <w:r w:rsidR="00AA1D84">
        <w:rPr>
          <w:rFonts w:ascii="Times New Roman" w:hAnsi="Times New Roman"/>
          <w:b/>
          <w:i/>
          <w:sz w:val="24"/>
          <w:szCs w:val="24"/>
        </w:rPr>
        <w:t>,</w:t>
      </w:r>
      <w:r w:rsidRPr="00F02FDF">
        <w:rPr>
          <w:rFonts w:ascii="Times New Roman" w:hAnsi="Times New Roman"/>
          <w:b/>
          <w:i/>
          <w:sz w:val="24"/>
          <w:szCs w:val="24"/>
        </w:rPr>
        <w:t xml:space="preserve"> контрольно-счетная палата полагает целесообразным при внесении проекта областного бюджета на очередной год и плановый период представлять оценку ожидаемого исполнения областного бюджета по форме, аналогичной ведомственной структуре расходов областного бюджета либо приложению к закону об областном бюджете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и закрепить данную норму в Законе Амурской области </w:t>
      </w:r>
      <w:r w:rsidR="00B50619" w:rsidRPr="00F02FDF">
        <w:rPr>
          <w:rFonts w:ascii="Times New Roman" w:hAnsi="Times New Roman"/>
          <w:b/>
          <w:i/>
          <w:sz w:val="24"/>
          <w:szCs w:val="24"/>
        </w:rPr>
        <w:br/>
      </w:r>
      <w:r w:rsidRPr="00F02FDF">
        <w:rPr>
          <w:rFonts w:ascii="Times New Roman" w:hAnsi="Times New Roman"/>
          <w:b/>
          <w:i/>
          <w:sz w:val="24"/>
          <w:szCs w:val="24"/>
        </w:rPr>
        <w:t>«О бюджетном процессе в Амурской области».</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Во исполнение Указов Президента Российской Федерации от 7 мая 2012 года </w:t>
      </w:r>
      <w:r w:rsidRPr="00F02FDF">
        <w:rPr>
          <w:rFonts w:ascii="Times New Roman" w:hAnsi="Times New Roman"/>
          <w:sz w:val="24"/>
          <w:szCs w:val="24"/>
        </w:rPr>
        <w:br/>
        <w:t>№</w:t>
      </w:r>
      <w:r w:rsidR="00BD4B2E">
        <w:rPr>
          <w:rFonts w:ascii="Times New Roman" w:hAnsi="Times New Roman"/>
          <w:sz w:val="24"/>
          <w:szCs w:val="24"/>
        </w:rPr>
        <w:t>№</w:t>
      </w:r>
      <w:r w:rsidRPr="00F02FDF">
        <w:rPr>
          <w:rFonts w:ascii="Times New Roman" w:hAnsi="Times New Roman"/>
          <w:sz w:val="24"/>
          <w:szCs w:val="24"/>
        </w:rPr>
        <w:t xml:space="preserve"> 597, 598, 599 распоряжением губернатора области от 31 июля 2012 года № 158-р утверждены Перечни мероприятий («дорожные карты») по повышению эффективности и качества услуг в сферах здравоохранения, образования, культуры и социального обслуживания населения, в том числе предусмотрено поэтапное повышение к 2018 году оплаты труда работникам бюджетного сектора экономики</w:t>
      </w:r>
      <w:r w:rsidR="00BD4B2E">
        <w:rPr>
          <w:rFonts w:ascii="Times New Roman" w:hAnsi="Times New Roman"/>
          <w:sz w:val="24"/>
          <w:szCs w:val="24"/>
        </w:rPr>
        <w:t>.</w:t>
      </w:r>
    </w:p>
    <w:p w:rsidR="00E060A9" w:rsidRPr="00F02FDF" w:rsidRDefault="004C2E5E" w:rsidP="00F02FDF">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F02FDF">
        <w:rPr>
          <w:rFonts w:ascii="Times New Roman" w:hAnsi="Times New Roman"/>
          <w:sz w:val="24"/>
          <w:szCs w:val="24"/>
        </w:rPr>
        <w:t>В соответствии с пунктом 18 Перечня мероприятий по реализации Указа Президента Российской Федерации от 7 мая 2012 года № 597 «О мероприятиях по реализации государственной социальной политики» министерству финансов области, исполнительным органам государственной власти области необходимо при формировании областного бюджета на 2013 год и на плановый период 2014 и 2015 годов предусмотреть бюджетные ассигнования на реализацию мер, предусмотренных Указом.</w:t>
      </w:r>
      <w:r w:rsidR="00E060A9" w:rsidRPr="00F02FDF">
        <w:rPr>
          <w:rFonts w:ascii="Times New Roman" w:eastAsiaTheme="minorHAnsi" w:hAnsi="Times New Roman"/>
          <w:color w:val="C00000"/>
          <w:sz w:val="24"/>
          <w:szCs w:val="24"/>
          <w:lang w:eastAsia="en-US"/>
        </w:rPr>
        <w:t xml:space="preserve"> </w:t>
      </w:r>
      <w:r w:rsidR="00E060A9" w:rsidRPr="00F02FDF">
        <w:rPr>
          <w:rFonts w:ascii="Times New Roman" w:eastAsiaTheme="minorHAnsi" w:hAnsi="Times New Roman"/>
          <w:sz w:val="24"/>
          <w:szCs w:val="24"/>
          <w:lang w:eastAsia="en-US"/>
        </w:rPr>
        <w:t xml:space="preserve">В связи с этим в 2015 году и в плановом периоде 2016 и 2017 годов Правительству Амурской области необходимо продолжить работу по реализации мероприятий, определенных </w:t>
      </w:r>
      <w:r w:rsidR="00E060A9" w:rsidRPr="00F02FDF">
        <w:rPr>
          <w:rFonts w:ascii="Times New Roman" w:eastAsiaTheme="minorHAnsi" w:hAnsi="Times New Roman"/>
          <w:bCs/>
          <w:sz w:val="24"/>
          <w:szCs w:val="24"/>
          <w:lang w:eastAsia="en-US"/>
        </w:rPr>
        <w:t>указами Президента Российской Федерации от 7 мая 2012 года.</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Государственными программами Амурской области «Развитие системы социальной защиты населения Амурской области на 2014-2020 годы», «Развитие и сохранение культуры и искусства Амурской области на 2014-2020 годы» и «Развитие образования Амурской области на 2014-2020 годы» предусмотрен комплекс мероприятий по доведению среднего уровня заработной платы работников бюджетной сферы до средней заработной платы по региону.</w:t>
      </w:r>
    </w:p>
    <w:p w:rsidR="004C2E5E" w:rsidRPr="00F02FDF" w:rsidRDefault="004C2E5E" w:rsidP="00F02FDF">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F02FDF">
        <w:rPr>
          <w:rFonts w:ascii="Times New Roman" w:eastAsiaTheme="minorHAnsi" w:hAnsi="Times New Roman"/>
          <w:bCs/>
          <w:sz w:val="24"/>
          <w:szCs w:val="24"/>
          <w:lang w:eastAsia="en-US"/>
        </w:rPr>
        <w:lastRenderedPageBreak/>
        <w:t xml:space="preserve">В пояснительной записке к прогнозу социально-экономического развития Амурской области на 2015 год и на плановый период 2016 и 2017 годов расходы на реализацию мероприятий, определенных Указом Президента Российской Федерации </w:t>
      </w:r>
      <w:r w:rsidRPr="00F02FDF">
        <w:rPr>
          <w:rFonts w:ascii="Times New Roman" w:eastAsiaTheme="minorHAnsi" w:hAnsi="Times New Roman"/>
          <w:bCs/>
          <w:sz w:val="24"/>
          <w:szCs w:val="24"/>
          <w:lang w:eastAsia="en-US"/>
        </w:rPr>
        <w:br/>
        <w:t>от 7 мая 2012 года № 597 «О мероприятиях по реализации государственной социальной политики»</w:t>
      </w:r>
      <w:r w:rsidR="00B50619" w:rsidRPr="00F02FDF">
        <w:rPr>
          <w:rFonts w:ascii="Times New Roman" w:eastAsiaTheme="minorHAnsi" w:hAnsi="Times New Roman"/>
          <w:bCs/>
          <w:sz w:val="24"/>
          <w:szCs w:val="24"/>
          <w:lang w:eastAsia="en-US"/>
        </w:rPr>
        <w:t>,</w:t>
      </w:r>
      <w:r w:rsidRPr="00F02FDF">
        <w:rPr>
          <w:rFonts w:ascii="Times New Roman" w:eastAsiaTheme="minorHAnsi" w:hAnsi="Times New Roman"/>
          <w:bCs/>
          <w:sz w:val="24"/>
          <w:szCs w:val="24"/>
          <w:lang w:eastAsia="en-US"/>
        </w:rPr>
        <w:t xml:space="preserve"> определены в объеме 3659760,0 тыс. р</w:t>
      </w:r>
      <w:r w:rsidR="00BD4B2E">
        <w:rPr>
          <w:rFonts w:ascii="Times New Roman" w:eastAsiaTheme="minorHAnsi" w:hAnsi="Times New Roman"/>
          <w:bCs/>
          <w:sz w:val="24"/>
          <w:szCs w:val="24"/>
          <w:lang w:eastAsia="en-US"/>
        </w:rPr>
        <w:t>ублей.</w:t>
      </w:r>
    </w:p>
    <w:p w:rsidR="004C2E5E" w:rsidRPr="00F02FDF" w:rsidRDefault="004C2E5E" w:rsidP="00F02FDF">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F02FDF">
        <w:rPr>
          <w:rFonts w:ascii="Times New Roman" w:eastAsiaTheme="minorHAnsi" w:hAnsi="Times New Roman"/>
          <w:bCs/>
          <w:sz w:val="24"/>
          <w:szCs w:val="24"/>
          <w:lang w:eastAsia="en-US"/>
        </w:rPr>
        <w:t>Вместе с тем, объем расходов на 2015 год, предусматривающий субсидии бюджетным и автономным учреждениям образования, здравоохранения, культуры и социальной защиты населения области, снижен к 2014</w:t>
      </w:r>
      <w:r w:rsidR="00BD4B2E">
        <w:rPr>
          <w:rFonts w:ascii="Times New Roman" w:eastAsiaTheme="minorHAnsi" w:hAnsi="Times New Roman"/>
          <w:bCs/>
          <w:sz w:val="24"/>
          <w:szCs w:val="24"/>
          <w:lang w:eastAsia="en-US"/>
        </w:rPr>
        <w:t xml:space="preserve"> году на 1221398,4 тыс. рублей.</w:t>
      </w:r>
    </w:p>
    <w:p w:rsidR="004C2E5E" w:rsidRPr="00F02FDF" w:rsidRDefault="004C2E5E" w:rsidP="00F02FDF">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F02FDF">
        <w:rPr>
          <w:rFonts w:ascii="Times New Roman" w:eastAsiaTheme="minorHAnsi" w:hAnsi="Times New Roman"/>
          <w:bCs/>
          <w:sz w:val="24"/>
          <w:szCs w:val="24"/>
          <w:lang w:eastAsia="en-US"/>
        </w:rPr>
        <w:t xml:space="preserve">Согласно прогнозу социально-экономического развития Амурской области на </w:t>
      </w:r>
      <w:r w:rsidRPr="00F02FDF">
        <w:rPr>
          <w:rFonts w:ascii="Times New Roman" w:eastAsiaTheme="minorHAnsi" w:hAnsi="Times New Roman"/>
          <w:bCs/>
          <w:sz w:val="24"/>
          <w:szCs w:val="24"/>
          <w:lang w:eastAsia="en-US"/>
        </w:rPr>
        <w:br/>
        <w:t>2015 год и на плановый период 2016 и 2017 годов, прогнозируется увеличение количества дошкольных общеобразовательных учреждений и численности воспитанников в них, что повлечет дополнительные расходы областного бюджета, в том числе на оплату труда. Однако объем иных межбюджетных трансфертов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2015 год спроектирован с уменьшением к аналогичному показателю текущего года на 17871,4 тыс. рублей.</w:t>
      </w:r>
    </w:p>
    <w:p w:rsidR="004C2E5E" w:rsidRPr="00F02FDF" w:rsidRDefault="004C2E5E" w:rsidP="00F02FDF">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F02FDF">
        <w:rPr>
          <w:rFonts w:ascii="Times New Roman" w:eastAsiaTheme="minorHAnsi" w:hAnsi="Times New Roman"/>
          <w:bCs/>
          <w:sz w:val="24"/>
          <w:szCs w:val="24"/>
          <w:lang w:eastAsia="en-US"/>
        </w:rPr>
        <w:t>В пояснительной записке к законопроекту отсутствует информация о проектируемых бюджетных ассигнованиях на реализацию мероприятий по доведению среднего уровня заработной платы работников бюджетной сферы до средн</w:t>
      </w:r>
      <w:r w:rsidR="00BD4B2E">
        <w:rPr>
          <w:rFonts w:ascii="Times New Roman" w:eastAsiaTheme="minorHAnsi" w:hAnsi="Times New Roman"/>
          <w:bCs/>
          <w:sz w:val="24"/>
          <w:szCs w:val="24"/>
          <w:lang w:eastAsia="en-US"/>
        </w:rPr>
        <w:t>ей заработной платы по региону.</w:t>
      </w:r>
    </w:p>
    <w:p w:rsidR="004C2E5E" w:rsidRPr="00F02FDF" w:rsidRDefault="004C2E5E" w:rsidP="00F02FDF">
      <w:pPr>
        <w:tabs>
          <w:tab w:val="left" w:pos="720"/>
          <w:tab w:val="left" w:pos="9656"/>
        </w:tabs>
        <w:spacing w:after="0" w:line="240" w:lineRule="auto"/>
        <w:ind w:firstLine="709"/>
        <w:jc w:val="both"/>
        <w:rPr>
          <w:rFonts w:ascii="Times New Roman" w:hAnsi="Times New Roman"/>
          <w:b/>
          <w:i/>
          <w:sz w:val="24"/>
          <w:szCs w:val="24"/>
        </w:rPr>
      </w:pPr>
      <w:r w:rsidRPr="00F02FDF">
        <w:rPr>
          <w:rFonts w:ascii="Times New Roman" w:hAnsi="Times New Roman"/>
          <w:b/>
          <w:i/>
          <w:sz w:val="24"/>
          <w:szCs w:val="24"/>
        </w:rPr>
        <w:t xml:space="preserve">На основании изложенного можно сделать вывод о наличии рисков неисполнения мероприятий, определенных указами Президента Российской Федерации от 7 мая </w:t>
      </w:r>
      <w:r w:rsidR="00B50619" w:rsidRPr="00F02FDF">
        <w:rPr>
          <w:rFonts w:ascii="Times New Roman" w:hAnsi="Times New Roman"/>
          <w:b/>
          <w:i/>
          <w:sz w:val="24"/>
          <w:szCs w:val="24"/>
        </w:rPr>
        <w:br/>
      </w:r>
      <w:r w:rsidRPr="00F02FDF">
        <w:rPr>
          <w:rFonts w:ascii="Times New Roman" w:hAnsi="Times New Roman"/>
          <w:b/>
          <w:i/>
          <w:sz w:val="24"/>
          <w:szCs w:val="24"/>
        </w:rPr>
        <w:t>2012 года, в связи с недостаточностью бюджетных ассигнований в части повышения оплаты труда работникам бюджетного сектора экономики.</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Структура расходов на 2015 год в разрезе главных распорядителей средств областного бюджета изменилась в связи с упразднением министерства пожарной безопасности и гражданской защиты Амурской области и преобразования управления лесного хозяйства Амурской области в министерство лесного хозяйства и пожарной безопасности Амурской области, с передачей ему в порядке правопреемства функций и полномочий упраздняемого министерства пожарной безопасности и гражд</w:t>
      </w:r>
      <w:r w:rsidR="00BD4B2E">
        <w:rPr>
          <w:rFonts w:ascii="Times New Roman" w:hAnsi="Times New Roman"/>
          <w:sz w:val="24"/>
          <w:szCs w:val="24"/>
        </w:rPr>
        <w:t>анской защиты Амурской области.</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r w:rsidRPr="00F02FDF">
        <w:rPr>
          <w:rFonts w:ascii="Times New Roman" w:hAnsi="Times New Roman"/>
          <w:sz w:val="24"/>
          <w:szCs w:val="24"/>
        </w:rPr>
        <w:t xml:space="preserve">Увеличение бюджетных ассигнований на 2015 год по отношению к текущему году наблюдается только по главному распорядителю </w:t>
      </w:r>
      <w:r w:rsidR="00B50619" w:rsidRPr="00F02FDF">
        <w:rPr>
          <w:rFonts w:ascii="Times New Roman" w:hAnsi="Times New Roman"/>
          <w:sz w:val="24"/>
          <w:szCs w:val="24"/>
        </w:rPr>
        <w:t xml:space="preserve">- </w:t>
      </w:r>
      <w:r w:rsidRPr="00F02FDF">
        <w:rPr>
          <w:rFonts w:ascii="Times New Roman" w:hAnsi="Times New Roman"/>
          <w:sz w:val="24"/>
          <w:szCs w:val="24"/>
        </w:rPr>
        <w:t xml:space="preserve">министерству имущественных отношений Амурской области, что связано с увеличением расходов на взнос в уставный капитал </w:t>
      </w:r>
      <w:r w:rsidR="00304FE8">
        <w:rPr>
          <w:rFonts w:ascii="Times New Roman" w:hAnsi="Times New Roman"/>
          <w:sz w:val="24"/>
          <w:szCs w:val="24"/>
        </w:rPr>
        <w:br/>
      </w:r>
      <w:r w:rsidRPr="00F02FDF">
        <w:rPr>
          <w:rFonts w:ascii="Times New Roman" w:hAnsi="Times New Roman"/>
          <w:sz w:val="24"/>
          <w:szCs w:val="24"/>
        </w:rPr>
        <w:t>ОАО «Агентство кредитных гарантий АПК». Расходы на 2015 год на взнос в уставный капитал ОАО «Агентство кредитных гарантий АПК» спроектированы в сумме 120000,0 тыс. рублей, или с увеличением к 2014 году на 70000,0 тыс. рублей.</w:t>
      </w:r>
    </w:p>
    <w:p w:rsidR="004C2E5E" w:rsidRPr="00F02FDF" w:rsidRDefault="004C2E5E" w:rsidP="00F02FDF">
      <w:pPr>
        <w:tabs>
          <w:tab w:val="left" w:pos="720"/>
          <w:tab w:val="left" w:pos="9656"/>
        </w:tabs>
        <w:spacing w:after="0" w:line="240" w:lineRule="auto"/>
        <w:ind w:firstLine="709"/>
        <w:jc w:val="both"/>
        <w:rPr>
          <w:rFonts w:ascii="Times New Roman" w:hAnsi="Times New Roman"/>
          <w:sz w:val="24"/>
          <w:szCs w:val="24"/>
        </w:rPr>
      </w:pPr>
    </w:p>
    <w:p w:rsidR="00F02FDF" w:rsidRPr="00F02FDF" w:rsidRDefault="00F02FDF" w:rsidP="00DA5F4F">
      <w:pPr>
        <w:pStyle w:val="ad"/>
        <w:widowControl w:val="0"/>
        <w:numPr>
          <w:ilvl w:val="1"/>
          <w:numId w:val="14"/>
        </w:num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 </w:t>
      </w:r>
      <w:r w:rsidRPr="00F02FDF">
        <w:rPr>
          <w:rFonts w:ascii="Times New Roman" w:hAnsi="Times New Roman"/>
          <w:b/>
          <w:bCs/>
          <w:iCs/>
          <w:sz w:val="24"/>
          <w:szCs w:val="24"/>
        </w:rPr>
        <w:t xml:space="preserve">Расходы областного бюджета на 2015 год и плановый период </w:t>
      </w:r>
      <w:r>
        <w:rPr>
          <w:rFonts w:ascii="Times New Roman" w:hAnsi="Times New Roman"/>
          <w:b/>
          <w:bCs/>
          <w:iCs/>
          <w:sz w:val="24"/>
          <w:szCs w:val="24"/>
        </w:rPr>
        <w:br/>
      </w:r>
      <w:r w:rsidRPr="00F02FDF">
        <w:rPr>
          <w:rFonts w:ascii="Times New Roman" w:hAnsi="Times New Roman"/>
          <w:b/>
          <w:bCs/>
          <w:iCs/>
          <w:sz w:val="24"/>
          <w:szCs w:val="24"/>
        </w:rPr>
        <w:t>2016 и 2017</w:t>
      </w:r>
      <w:r w:rsidRPr="00F02FDF">
        <w:rPr>
          <w:rFonts w:ascii="Times New Roman" w:hAnsi="Times New Roman"/>
          <w:b/>
          <w:bCs/>
          <w:sz w:val="24"/>
          <w:szCs w:val="24"/>
        </w:rPr>
        <w:t xml:space="preserve"> </w:t>
      </w:r>
      <w:r w:rsidRPr="00F02FDF">
        <w:rPr>
          <w:rFonts w:ascii="Times New Roman" w:hAnsi="Times New Roman"/>
          <w:b/>
          <w:bCs/>
          <w:iCs/>
          <w:sz w:val="24"/>
          <w:szCs w:val="24"/>
        </w:rPr>
        <w:t>годов на бюджетные инвестиции в объекты капитального строительства</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Согласно представленн</w:t>
      </w:r>
      <w:r>
        <w:rPr>
          <w:rFonts w:ascii="Times New Roman" w:hAnsi="Times New Roman"/>
          <w:bCs/>
          <w:iCs/>
          <w:sz w:val="24"/>
          <w:szCs w:val="24"/>
        </w:rPr>
        <w:t>ым</w:t>
      </w:r>
      <w:r w:rsidRPr="00832590">
        <w:rPr>
          <w:rFonts w:ascii="Times New Roman" w:hAnsi="Times New Roman"/>
          <w:bCs/>
          <w:iCs/>
          <w:sz w:val="24"/>
          <w:szCs w:val="24"/>
        </w:rPr>
        <w:t xml:space="preserve"> </w:t>
      </w:r>
      <w:r>
        <w:rPr>
          <w:rFonts w:ascii="Times New Roman" w:hAnsi="Times New Roman"/>
          <w:bCs/>
          <w:iCs/>
          <w:sz w:val="24"/>
          <w:szCs w:val="24"/>
        </w:rPr>
        <w:t xml:space="preserve">в составе </w:t>
      </w:r>
      <w:r w:rsidRPr="00832590">
        <w:rPr>
          <w:rFonts w:ascii="Times New Roman" w:hAnsi="Times New Roman"/>
          <w:bCs/>
          <w:iCs/>
          <w:sz w:val="24"/>
          <w:szCs w:val="24"/>
        </w:rPr>
        <w:t>законопроект</w:t>
      </w:r>
      <w:r>
        <w:rPr>
          <w:rFonts w:ascii="Times New Roman" w:hAnsi="Times New Roman"/>
          <w:bCs/>
          <w:iCs/>
          <w:sz w:val="24"/>
          <w:szCs w:val="24"/>
        </w:rPr>
        <w:t>а</w:t>
      </w:r>
      <w:r w:rsidRPr="00832590">
        <w:rPr>
          <w:rFonts w:ascii="Times New Roman" w:hAnsi="Times New Roman"/>
          <w:bCs/>
          <w:iCs/>
          <w:sz w:val="24"/>
          <w:szCs w:val="24"/>
        </w:rPr>
        <w:t xml:space="preserve"> «Об областном бюджете </w:t>
      </w:r>
      <w:r>
        <w:rPr>
          <w:rFonts w:ascii="Times New Roman" w:hAnsi="Times New Roman"/>
          <w:bCs/>
          <w:iCs/>
          <w:sz w:val="24"/>
          <w:szCs w:val="24"/>
        </w:rPr>
        <w:br/>
      </w:r>
      <w:r w:rsidRPr="00832590">
        <w:rPr>
          <w:rFonts w:ascii="Times New Roman" w:hAnsi="Times New Roman"/>
          <w:bCs/>
          <w:iCs/>
          <w:sz w:val="24"/>
          <w:szCs w:val="24"/>
        </w:rPr>
        <w:t>на 201</w:t>
      </w:r>
      <w:r>
        <w:rPr>
          <w:rFonts w:ascii="Times New Roman" w:hAnsi="Times New Roman"/>
          <w:bCs/>
          <w:iCs/>
          <w:sz w:val="24"/>
          <w:szCs w:val="24"/>
        </w:rPr>
        <w:t>5 год и плановый период 2016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приложени</w:t>
      </w:r>
      <w:r>
        <w:rPr>
          <w:rFonts w:ascii="Times New Roman" w:hAnsi="Times New Roman"/>
          <w:bCs/>
          <w:iCs/>
          <w:sz w:val="24"/>
          <w:szCs w:val="24"/>
        </w:rPr>
        <w:t>ям</w:t>
      </w:r>
      <w:r w:rsidRPr="00832590">
        <w:rPr>
          <w:rFonts w:ascii="Times New Roman" w:hAnsi="Times New Roman"/>
          <w:bCs/>
          <w:iCs/>
          <w:sz w:val="24"/>
          <w:szCs w:val="24"/>
        </w:rPr>
        <w:t xml:space="preserve"> </w:t>
      </w:r>
      <w:r>
        <w:rPr>
          <w:rFonts w:ascii="Times New Roman" w:hAnsi="Times New Roman"/>
          <w:bCs/>
          <w:iCs/>
          <w:sz w:val="24"/>
          <w:szCs w:val="24"/>
        </w:rPr>
        <w:t>№ 8 «</w:t>
      </w:r>
      <w:r w:rsidRPr="007A7926">
        <w:rPr>
          <w:rFonts w:ascii="Times New Roman" w:hAnsi="Times New Roman"/>
          <w:bCs/>
          <w:iCs/>
          <w:sz w:val="24"/>
          <w:szCs w:val="24"/>
        </w:rPr>
        <w:t>Распределени</w:t>
      </w:r>
      <w:r>
        <w:rPr>
          <w:rFonts w:ascii="Times New Roman" w:hAnsi="Times New Roman"/>
          <w:bCs/>
          <w:iCs/>
          <w:sz w:val="24"/>
          <w:szCs w:val="24"/>
        </w:rPr>
        <w:t>е</w:t>
      </w:r>
      <w:r w:rsidRPr="007A7926">
        <w:rPr>
          <w:rFonts w:ascii="Times New Roman" w:hAnsi="Times New Roman"/>
          <w:bCs/>
          <w:iCs/>
          <w:sz w:val="24"/>
          <w:szCs w:val="24"/>
        </w:rPr>
        <w:t xml:space="preserve">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2015 год и плановый период 2016 и 2017 годов</w:t>
      </w:r>
      <w:r>
        <w:rPr>
          <w:rFonts w:ascii="Times New Roman" w:hAnsi="Times New Roman"/>
          <w:bCs/>
          <w:iCs/>
          <w:sz w:val="24"/>
          <w:szCs w:val="24"/>
        </w:rPr>
        <w:t xml:space="preserve">» и </w:t>
      </w:r>
      <w:r>
        <w:rPr>
          <w:rFonts w:ascii="Times New Roman" w:hAnsi="Times New Roman"/>
          <w:bCs/>
          <w:iCs/>
          <w:sz w:val="24"/>
          <w:szCs w:val="24"/>
        </w:rPr>
        <w:br/>
        <w:t>№ 9</w:t>
      </w:r>
      <w:r w:rsidRPr="007A7926">
        <w:rPr>
          <w:rFonts w:ascii="Times New Roman" w:hAnsi="Times New Roman"/>
          <w:bCs/>
          <w:iCs/>
          <w:sz w:val="24"/>
          <w:szCs w:val="24"/>
        </w:rPr>
        <w:t xml:space="preserve"> </w:t>
      </w:r>
      <w:r>
        <w:rPr>
          <w:rFonts w:ascii="Times New Roman" w:hAnsi="Times New Roman"/>
          <w:bCs/>
          <w:iCs/>
          <w:sz w:val="24"/>
          <w:szCs w:val="24"/>
        </w:rPr>
        <w:t xml:space="preserve">«Ведомственная структура </w:t>
      </w:r>
      <w:r w:rsidRPr="00432B19">
        <w:rPr>
          <w:rFonts w:ascii="Times New Roman" w:hAnsi="Times New Roman"/>
          <w:bCs/>
          <w:iCs/>
          <w:sz w:val="24"/>
          <w:szCs w:val="24"/>
        </w:rPr>
        <w:t>расходов областного бюджета на 2015 год и плановый период 2016 и 2017 годов</w:t>
      </w:r>
      <w:r>
        <w:rPr>
          <w:rFonts w:ascii="Times New Roman" w:hAnsi="Times New Roman"/>
          <w:bCs/>
          <w:iCs/>
          <w:sz w:val="24"/>
          <w:szCs w:val="24"/>
        </w:rPr>
        <w:t>»</w:t>
      </w:r>
      <w:r w:rsidRPr="00832590">
        <w:rPr>
          <w:rFonts w:ascii="Times New Roman" w:hAnsi="Times New Roman"/>
          <w:bCs/>
          <w:iCs/>
          <w:sz w:val="24"/>
          <w:szCs w:val="24"/>
        </w:rPr>
        <w:t xml:space="preserve"> предусмотрено выделение бюджетных ассигнований на капитальные вложения в объекты государственной собственности области за счет</w:t>
      </w:r>
      <w:r>
        <w:rPr>
          <w:rFonts w:ascii="Times New Roman" w:hAnsi="Times New Roman"/>
          <w:bCs/>
          <w:iCs/>
          <w:sz w:val="24"/>
          <w:szCs w:val="24"/>
        </w:rPr>
        <w:t xml:space="preserve"> средств областного бюджета по трем государственным программам и двум</w:t>
      </w:r>
      <w:r w:rsidRPr="00832590">
        <w:rPr>
          <w:rFonts w:ascii="Times New Roman" w:hAnsi="Times New Roman"/>
          <w:bCs/>
          <w:iCs/>
          <w:sz w:val="24"/>
          <w:szCs w:val="24"/>
        </w:rPr>
        <w:t xml:space="preserve"> главным распорядителям бюджетных средств:</w:t>
      </w:r>
    </w:p>
    <w:p w:rsidR="00F02FDF" w:rsidRPr="000B34E5" w:rsidRDefault="00F02FDF" w:rsidP="00DA5F4F">
      <w:pPr>
        <w:pStyle w:val="ad"/>
        <w:widowControl w:val="0"/>
        <w:numPr>
          <w:ilvl w:val="0"/>
          <w:numId w:val="17"/>
        </w:numPr>
        <w:tabs>
          <w:tab w:val="left" w:pos="540"/>
          <w:tab w:val="left" w:pos="993"/>
        </w:tabs>
        <w:spacing w:after="0" w:line="240" w:lineRule="auto"/>
        <w:ind w:left="0" w:firstLine="709"/>
        <w:jc w:val="both"/>
        <w:rPr>
          <w:rFonts w:ascii="Times New Roman" w:hAnsi="Times New Roman"/>
          <w:bCs/>
          <w:iCs/>
          <w:sz w:val="24"/>
          <w:szCs w:val="24"/>
        </w:rPr>
      </w:pPr>
      <w:r w:rsidRPr="000B34E5">
        <w:rPr>
          <w:rFonts w:ascii="Times New Roman" w:hAnsi="Times New Roman"/>
          <w:bCs/>
          <w:iCs/>
          <w:sz w:val="24"/>
          <w:szCs w:val="24"/>
        </w:rPr>
        <w:t xml:space="preserve">министерству строительства и архитектуры в рамках </w:t>
      </w:r>
      <w:r>
        <w:rPr>
          <w:rFonts w:ascii="Times New Roman" w:hAnsi="Times New Roman"/>
          <w:bCs/>
          <w:iCs/>
          <w:sz w:val="24"/>
          <w:szCs w:val="24"/>
        </w:rPr>
        <w:t xml:space="preserve">подпрограмм «Повышение устойчивости жилых домов, основных объектов и систем жизнеобеспечения в сейсмических районах области» и «Семья детям»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ы</w:t>
      </w:r>
      <w:r w:rsidRPr="000B34E5">
        <w:rPr>
          <w:rFonts w:ascii="Times New Roman" w:hAnsi="Times New Roman"/>
          <w:bCs/>
          <w:iCs/>
          <w:sz w:val="24"/>
          <w:szCs w:val="24"/>
        </w:rPr>
        <w:t xml:space="preserve"> «Обеспечение доступным и </w:t>
      </w:r>
      <w:r w:rsidRPr="000B34E5">
        <w:rPr>
          <w:rFonts w:ascii="Times New Roman" w:hAnsi="Times New Roman"/>
          <w:bCs/>
          <w:iCs/>
          <w:sz w:val="24"/>
          <w:szCs w:val="24"/>
        </w:rPr>
        <w:lastRenderedPageBreak/>
        <w:t>качественным жильем населения Амурской области на 2014-2020 годы»</w:t>
      </w:r>
      <w:r>
        <w:rPr>
          <w:rFonts w:ascii="Times New Roman" w:hAnsi="Times New Roman"/>
          <w:bCs/>
          <w:iCs/>
          <w:sz w:val="24"/>
          <w:szCs w:val="24"/>
        </w:rPr>
        <w:t xml:space="preserve">, подпрограммы </w:t>
      </w:r>
      <w:r w:rsidRPr="00E42F22">
        <w:rPr>
          <w:rFonts w:ascii="Times New Roman" w:hAnsi="Times New Roman"/>
          <w:bCs/>
          <w:iCs/>
          <w:sz w:val="24"/>
          <w:szCs w:val="24"/>
        </w:rPr>
        <w:t xml:space="preserve">«Профилактика правонарушений, профилактика терроризма и экстремизма» </w:t>
      </w:r>
      <w:r>
        <w:rPr>
          <w:rFonts w:ascii="Times New Roman" w:hAnsi="Times New Roman"/>
          <w:bCs/>
          <w:iCs/>
          <w:sz w:val="24"/>
          <w:szCs w:val="24"/>
        </w:rPr>
        <w:t>г</w:t>
      </w:r>
      <w:r w:rsidRPr="00E42F22">
        <w:rPr>
          <w:rFonts w:ascii="Times New Roman" w:hAnsi="Times New Roman"/>
          <w:bCs/>
          <w:iCs/>
          <w:sz w:val="24"/>
          <w:szCs w:val="24"/>
        </w:rPr>
        <w:t>осударственн</w:t>
      </w:r>
      <w:r>
        <w:rPr>
          <w:rFonts w:ascii="Times New Roman" w:hAnsi="Times New Roman"/>
          <w:bCs/>
          <w:iCs/>
          <w:sz w:val="24"/>
          <w:szCs w:val="24"/>
        </w:rPr>
        <w:t>ой</w:t>
      </w:r>
      <w:r w:rsidRPr="00E42F22">
        <w:rPr>
          <w:rFonts w:ascii="Times New Roman" w:hAnsi="Times New Roman"/>
          <w:bCs/>
          <w:iCs/>
          <w:sz w:val="24"/>
          <w:szCs w:val="24"/>
        </w:rPr>
        <w:t xml:space="preserve"> программ</w:t>
      </w:r>
      <w:r>
        <w:rPr>
          <w:rFonts w:ascii="Times New Roman" w:hAnsi="Times New Roman"/>
          <w:bCs/>
          <w:iCs/>
          <w:sz w:val="24"/>
          <w:szCs w:val="24"/>
        </w:rPr>
        <w:t>ы</w:t>
      </w:r>
      <w:r w:rsidRPr="00E42F22">
        <w:rPr>
          <w:rFonts w:ascii="Times New Roman" w:hAnsi="Times New Roman"/>
          <w:bCs/>
          <w:iCs/>
          <w:sz w:val="24"/>
          <w:szCs w:val="24"/>
        </w:rPr>
        <w:t xml:space="preserve">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w:t>
      </w:r>
      <w:r w:rsidRPr="000B34E5">
        <w:rPr>
          <w:rFonts w:ascii="Times New Roman" w:hAnsi="Times New Roman"/>
          <w:bCs/>
          <w:iCs/>
          <w:sz w:val="24"/>
          <w:szCs w:val="24"/>
        </w:rPr>
        <w:t>;</w:t>
      </w:r>
    </w:p>
    <w:p w:rsidR="00F02FDF" w:rsidRPr="000B34E5" w:rsidRDefault="00F02FDF" w:rsidP="00DA5F4F">
      <w:pPr>
        <w:pStyle w:val="ad"/>
        <w:widowControl w:val="0"/>
        <w:numPr>
          <w:ilvl w:val="0"/>
          <w:numId w:val="17"/>
        </w:numPr>
        <w:tabs>
          <w:tab w:val="left" w:pos="540"/>
          <w:tab w:val="left" w:pos="993"/>
        </w:tabs>
        <w:spacing w:after="0" w:line="240" w:lineRule="auto"/>
        <w:ind w:left="0" w:firstLine="709"/>
        <w:jc w:val="both"/>
        <w:rPr>
          <w:rFonts w:ascii="Times New Roman" w:hAnsi="Times New Roman"/>
          <w:bCs/>
          <w:iCs/>
          <w:sz w:val="24"/>
          <w:szCs w:val="24"/>
        </w:rPr>
      </w:pPr>
      <w:r w:rsidRPr="000B34E5">
        <w:rPr>
          <w:rFonts w:ascii="Times New Roman" w:hAnsi="Times New Roman"/>
          <w:bCs/>
          <w:iCs/>
          <w:sz w:val="24"/>
          <w:szCs w:val="24"/>
        </w:rPr>
        <w:t xml:space="preserve">министерству транспорта и дорожного хозяйства в рамках </w:t>
      </w:r>
      <w:r>
        <w:rPr>
          <w:rFonts w:ascii="Times New Roman" w:hAnsi="Times New Roman"/>
          <w:bCs/>
          <w:iCs/>
          <w:sz w:val="24"/>
          <w:szCs w:val="24"/>
        </w:rPr>
        <w:t xml:space="preserve">подпрограммы «Развитие сети автомобильных дорог общего пользования Амурской области» </w:t>
      </w:r>
      <w:r w:rsidRPr="000B34E5">
        <w:rPr>
          <w:rFonts w:ascii="Times New Roman" w:hAnsi="Times New Roman"/>
          <w:bCs/>
          <w:iCs/>
          <w:sz w:val="24"/>
          <w:szCs w:val="24"/>
        </w:rPr>
        <w:t xml:space="preserve">государственной программы «Развитие транспортной системы Амурской области на </w:t>
      </w:r>
      <w:r>
        <w:rPr>
          <w:rFonts w:ascii="Times New Roman" w:hAnsi="Times New Roman"/>
          <w:bCs/>
          <w:iCs/>
          <w:sz w:val="24"/>
          <w:szCs w:val="24"/>
        </w:rPr>
        <w:br/>
      </w:r>
      <w:r w:rsidR="00BD4B2E">
        <w:rPr>
          <w:rFonts w:ascii="Times New Roman" w:hAnsi="Times New Roman"/>
          <w:bCs/>
          <w:iCs/>
          <w:sz w:val="24"/>
          <w:szCs w:val="24"/>
        </w:rPr>
        <w:t>2014-2020 годы».</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Объемы предусмотренных законопроектом бюджетных ассигнований на капитальные вложения в объекты государственной собственности составляют:</w:t>
      </w:r>
    </w:p>
    <w:p w:rsidR="00F02FDF" w:rsidRPr="00121441" w:rsidRDefault="00F02FDF" w:rsidP="00DA5F4F">
      <w:pPr>
        <w:pStyle w:val="ad"/>
        <w:widowControl w:val="0"/>
        <w:numPr>
          <w:ilvl w:val="0"/>
          <w:numId w:val="18"/>
        </w:numPr>
        <w:tabs>
          <w:tab w:val="left" w:pos="540"/>
        </w:tabs>
        <w:spacing w:after="0" w:line="240" w:lineRule="auto"/>
        <w:ind w:left="0" w:firstLine="709"/>
        <w:jc w:val="both"/>
        <w:rPr>
          <w:rFonts w:ascii="Times New Roman" w:hAnsi="Times New Roman"/>
          <w:bCs/>
          <w:iCs/>
          <w:sz w:val="24"/>
          <w:szCs w:val="24"/>
        </w:rPr>
      </w:pPr>
      <w:r w:rsidRPr="000B34E5">
        <w:rPr>
          <w:rFonts w:ascii="Times New Roman" w:hAnsi="Times New Roman"/>
          <w:bCs/>
          <w:iCs/>
          <w:sz w:val="24"/>
          <w:szCs w:val="24"/>
        </w:rPr>
        <w:t>в 201</w:t>
      </w:r>
      <w:r>
        <w:rPr>
          <w:rFonts w:ascii="Times New Roman" w:hAnsi="Times New Roman"/>
          <w:bCs/>
          <w:iCs/>
          <w:sz w:val="24"/>
          <w:szCs w:val="24"/>
        </w:rPr>
        <w:t>5</w:t>
      </w:r>
      <w:r w:rsidRPr="000B34E5">
        <w:rPr>
          <w:rFonts w:ascii="Times New Roman" w:hAnsi="Times New Roman"/>
          <w:bCs/>
          <w:iCs/>
          <w:sz w:val="24"/>
          <w:szCs w:val="24"/>
        </w:rPr>
        <w:t xml:space="preserve"> году - в </w:t>
      </w:r>
      <w:r w:rsidRPr="00121441">
        <w:rPr>
          <w:rFonts w:ascii="Times New Roman" w:hAnsi="Times New Roman"/>
          <w:bCs/>
          <w:iCs/>
          <w:sz w:val="24"/>
          <w:szCs w:val="24"/>
        </w:rPr>
        <w:t>сумме 619636,9 тыс. рублей</w:t>
      </w:r>
      <w:r>
        <w:rPr>
          <w:rFonts w:ascii="Times New Roman" w:hAnsi="Times New Roman"/>
          <w:bCs/>
          <w:iCs/>
          <w:sz w:val="24"/>
          <w:szCs w:val="24"/>
        </w:rPr>
        <w:t xml:space="preserve">, из них по объектам </w:t>
      </w:r>
      <w:r w:rsidRPr="00832590">
        <w:rPr>
          <w:rFonts w:ascii="Times New Roman" w:hAnsi="Times New Roman"/>
          <w:bCs/>
          <w:iCs/>
          <w:sz w:val="24"/>
          <w:szCs w:val="24"/>
        </w:rPr>
        <w:t>строительств</w:t>
      </w:r>
      <w:r>
        <w:rPr>
          <w:rFonts w:ascii="Times New Roman" w:hAnsi="Times New Roman"/>
          <w:bCs/>
          <w:iCs/>
          <w:sz w:val="24"/>
          <w:szCs w:val="24"/>
        </w:rPr>
        <w:t>а</w:t>
      </w:r>
      <w:r w:rsidRPr="00832590">
        <w:rPr>
          <w:rFonts w:ascii="Times New Roman" w:hAnsi="Times New Roman"/>
          <w:bCs/>
          <w:iCs/>
          <w:sz w:val="24"/>
          <w:szCs w:val="24"/>
        </w:rPr>
        <w:t xml:space="preserve"> и реконструкци</w:t>
      </w:r>
      <w:r>
        <w:rPr>
          <w:rFonts w:ascii="Times New Roman" w:hAnsi="Times New Roman"/>
          <w:bCs/>
          <w:iCs/>
          <w:sz w:val="24"/>
          <w:szCs w:val="24"/>
        </w:rPr>
        <w:t>и</w:t>
      </w:r>
      <w:r w:rsidRPr="00832590">
        <w:rPr>
          <w:rFonts w:ascii="Times New Roman" w:hAnsi="Times New Roman"/>
          <w:bCs/>
          <w:iCs/>
          <w:sz w:val="24"/>
          <w:szCs w:val="24"/>
        </w:rPr>
        <w:t xml:space="preserve"> автомобильных дорог общего пользования Амурской области </w:t>
      </w:r>
      <w:r>
        <w:rPr>
          <w:rFonts w:ascii="Times New Roman" w:hAnsi="Times New Roman"/>
          <w:bCs/>
          <w:iCs/>
          <w:sz w:val="24"/>
          <w:szCs w:val="24"/>
        </w:rPr>
        <w:t xml:space="preserve">– 446322,7 тыс. рублей, </w:t>
      </w:r>
      <w:r w:rsidRPr="00832590">
        <w:rPr>
          <w:rFonts w:ascii="Times New Roman" w:hAnsi="Times New Roman"/>
          <w:bCs/>
          <w:iCs/>
          <w:sz w:val="24"/>
          <w:szCs w:val="24"/>
        </w:rPr>
        <w:t>«Малоэтажное быстровозводимое жилье, г. Тында, мкр. Таежный»</w:t>
      </w:r>
      <w:r>
        <w:rPr>
          <w:rFonts w:ascii="Times New Roman" w:hAnsi="Times New Roman"/>
          <w:bCs/>
          <w:iCs/>
          <w:sz w:val="24"/>
          <w:szCs w:val="24"/>
        </w:rPr>
        <w:t xml:space="preserve"> - 134570,9 тыс. рублей, «Строительство жилых домов для предоставления семьям, готовым взять на воспитание 5 и более детей-сирот и (или) детей, оставшихся без попечения родителей» - 26941,0 тыс. рублей, </w:t>
      </w:r>
      <w:r w:rsidRPr="00877EEA">
        <w:rPr>
          <w:rFonts w:ascii="Times New Roman" w:hAnsi="Times New Roman"/>
          <w:bCs/>
          <w:iCs/>
          <w:sz w:val="24"/>
          <w:szCs w:val="24"/>
        </w:rPr>
        <w:t>«Реконструкци</w:t>
      </w:r>
      <w:r>
        <w:rPr>
          <w:rFonts w:ascii="Times New Roman" w:hAnsi="Times New Roman"/>
          <w:bCs/>
          <w:iCs/>
          <w:sz w:val="24"/>
          <w:szCs w:val="24"/>
        </w:rPr>
        <w:t>я</w:t>
      </w:r>
      <w:r w:rsidRPr="00877EEA">
        <w:rPr>
          <w:rFonts w:ascii="Times New Roman" w:hAnsi="Times New Roman"/>
          <w:bCs/>
          <w:iCs/>
          <w:sz w:val="24"/>
          <w:szCs w:val="24"/>
        </w:rPr>
        <w:t xml:space="preserve"> здания для размещения специального учреждения для содержания иностранных граждан и лиц без гражданства, подлежащих выдворению за пределы Р</w:t>
      </w:r>
      <w:r w:rsidR="009B7FD7">
        <w:rPr>
          <w:rFonts w:ascii="Times New Roman" w:hAnsi="Times New Roman"/>
          <w:bCs/>
          <w:iCs/>
          <w:sz w:val="24"/>
          <w:szCs w:val="24"/>
        </w:rPr>
        <w:t xml:space="preserve">оссийской </w:t>
      </w:r>
      <w:r w:rsidRPr="00877EEA">
        <w:rPr>
          <w:rFonts w:ascii="Times New Roman" w:hAnsi="Times New Roman"/>
          <w:bCs/>
          <w:iCs/>
          <w:sz w:val="24"/>
          <w:szCs w:val="24"/>
        </w:rPr>
        <w:t>Ф</w:t>
      </w:r>
      <w:r w:rsidR="009B7FD7">
        <w:rPr>
          <w:rFonts w:ascii="Times New Roman" w:hAnsi="Times New Roman"/>
          <w:bCs/>
          <w:iCs/>
          <w:sz w:val="24"/>
          <w:szCs w:val="24"/>
        </w:rPr>
        <w:t>едерации</w:t>
      </w:r>
      <w:r w:rsidRPr="00877EEA">
        <w:rPr>
          <w:rFonts w:ascii="Times New Roman" w:hAnsi="Times New Roman"/>
          <w:bCs/>
          <w:iCs/>
          <w:sz w:val="24"/>
          <w:szCs w:val="24"/>
        </w:rPr>
        <w:t xml:space="preserve"> или депортации, </w:t>
      </w:r>
      <w:r w:rsidR="00094E43" w:rsidRPr="00877EEA">
        <w:rPr>
          <w:rFonts w:ascii="Times New Roman" w:hAnsi="Times New Roman"/>
          <w:bCs/>
          <w:iCs/>
          <w:sz w:val="24"/>
          <w:szCs w:val="24"/>
        </w:rPr>
        <w:t>с. Белогорье</w:t>
      </w:r>
      <w:r w:rsidRPr="00877EEA">
        <w:rPr>
          <w:rFonts w:ascii="Times New Roman" w:hAnsi="Times New Roman"/>
          <w:bCs/>
          <w:iCs/>
          <w:sz w:val="24"/>
          <w:szCs w:val="24"/>
        </w:rPr>
        <w:t>»</w:t>
      </w:r>
      <w:r>
        <w:rPr>
          <w:rFonts w:ascii="Times New Roman" w:hAnsi="Times New Roman"/>
          <w:bCs/>
          <w:iCs/>
          <w:sz w:val="24"/>
          <w:szCs w:val="24"/>
        </w:rPr>
        <w:t xml:space="preserve"> - 11802,3 тыс. рублей</w:t>
      </w:r>
      <w:r w:rsidRPr="00877EEA">
        <w:rPr>
          <w:rFonts w:ascii="Times New Roman" w:hAnsi="Times New Roman"/>
          <w:bCs/>
          <w:iCs/>
          <w:sz w:val="24"/>
          <w:szCs w:val="24"/>
        </w:rPr>
        <w:t>;</w:t>
      </w:r>
    </w:p>
    <w:p w:rsidR="00F02FDF" w:rsidRPr="00121441" w:rsidRDefault="00F02FDF" w:rsidP="00DA5F4F">
      <w:pPr>
        <w:pStyle w:val="ad"/>
        <w:widowControl w:val="0"/>
        <w:numPr>
          <w:ilvl w:val="0"/>
          <w:numId w:val="18"/>
        </w:numPr>
        <w:tabs>
          <w:tab w:val="left" w:pos="540"/>
        </w:tabs>
        <w:spacing w:after="0" w:line="240" w:lineRule="auto"/>
        <w:ind w:left="0" w:firstLine="709"/>
        <w:jc w:val="both"/>
        <w:rPr>
          <w:rFonts w:ascii="Times New Roman" w:hAnsi="Times New Roman"/>
          <w:bCs/>
          <w:iCs/>
          <w:sz w:val="24"/>
          <w:szCs w:val="24"/>
        </w:rPr>
      </w:pPr>
      <w:r w:rsidRPr="00121441">
        <w:rPr>
          <w:rFonts w:ascii="Times New Roman" w:hAnsi="Times New Roman"/>
          <w:bCs/>
          <w:iCs/>
          <w:sz w:val="24"/>
          <w:szCs w:val="24"/>
        </w:rPr>
        <w:t>в 2016 году – в сумме 589373,6 тыс. рублей</w:t>
      </w:r>
      <w:r>
        <w:rPr>
          <w:rFonts w:ascii="Times New Roman" w:hAnsi="Times New Roman"/>
          <w:bCs/>
          <w:iCs/>
          <w:sz w:val="24"/>
          <w:szCs w:val="24"/>
        </w:rPr>
        <w:t xml:space="preserve">, из них по объектам </w:t>
      </w:r>
      <w:r w:rsidRPr="00832590">
        <w:rPr>
          <w:rFonts w:ascii="Times New Roman" w:hAnsi="Times New Roman"/>
          <w:bCs/>
          <w:iCs/>
          <w:sz w:val="24"/>
          <w:szCs w:val="24"/>
        </w:rPr>
        <w:t>строительств</w:t>
      </w:r>
      <w:r>
        <w:rPr>
          <w:rFonts w:ascii="Times New Roman" w:hAnsi="Times New Roman"/>
          <w:bCs/>
          <w:iCs/>
          <w:sz w:val="24"/>
          <w:szCs w:val="24"/>
        </w:rPr>
        <w:t>а</w:t>
      </w:r>
      <w:r w:rsidRPr="00832590">
        <w:rPr>
          <w:rFonts w:ascii="Times New Roman" w:hAnsi="Times New Roman"/>
          <w:bCs/>
          <w:iCs/>
          <w:sz w:val="24"/>
          <w:szCs w:val="24"/>
        </w:rPr>
        <w:t xml:space="preserve"> и реконструкци</w:t>
      </w:r>
      <w:r>
        <w:rPr>
          <w:rFonts w:ascii="Times New Roman" w:hAnsi="Times New Roman"/>
          <w:bCs/>
          <w:iCs/>
          <w:sz w:val="24"/>
          <w:szCs w:val="24"/>
        </w:rPr>
        <w:t>и</w:t>
      </w:r>
      <w:r w:rsidRPr="00832590">
        <w:rPr>
          <w:rFonts w:ascii="Times New Roman" w:hAnsi="Times New Roman"/>
          <w:bCs/>
          <w:iCs/>
          <w:sz w:val="24"/>
          <w:szCs w:val="24"/>
        </w:rPr>
        <w:t xml:space="preserve"> автомобильных дорог общего пользования Амурской области </w:t>
      </w:r>
      <w:r>
        <w:rPr>
          <w:rFonts w:ascii="Times New Roman" w:hAnsi="Times New Roman"/>
          <w:bCs/>
          <w:iCs/>
          <w:sz w:val="24"/>
          <w:szCs w:val="24"/>
        </w:rPr>
        <w:t xml:space="preserve">– </w:t>
      </w:r>
      <w:r>
        <w:rPr>
          <w:rFonts w:ascii="Times New Roman" w:hAnsi="Times New Roman"/>
          <w:bCs/>
          <w:iCs/>
          <w:sz w:val="24"/>
          <w:szCs w:val="24"/>
        </w:rPr>
        <w:br/>
        <w:t>544542,6 тыс. рублей, «Строительство жилых домов для предоставления семьям, готовым взять на воспитание 5 и более детей-сирот и (или) детей, оставшихся без попечения родителей» - 44831,0 тыс. рублей</w:t>
      </w:r>
      <w:r w:rsidRPr="00121441">
        <w:rPr>
          <w:rFonts w:ascii="Times New Roman" w:hAnsi="Times New Roman"/>
          <w:bCs/>
          <w:iCs/>
          <w:sz w:val="24"/>
          <w:szCs w:val="24"/>
        </w:rPr>
        <w:t>;</w:t>
      </w:r>
    </w:p>
    <w:p w:rsidR="00F02FDF" w:rsidRPr="000B34E5" w:rsidRDefault="00F02FDF" w:rsidP="00DA5F4F">
      <w:pPr>
        <w:pStyle w:val="ad"/>
        <w:widowControl w:val="0"/>
        <w:numPr>
          <w:ilvl w:val="0"/>
          <w:numId w:val="18"/>
        </w:numPr>
        <w:tabs>
          <w:tab w:val="left" w:pos="540"/>
        </w:tabs>
        <w:spacing w:after="0" w:line="240" w:lineRule="auto"/>
        <w:ind w:left="0" w:firstLine="709"/>
        <w:jc w:val="both"/>
        <w:rPr>
          <w:rFonts w:ascii="Times New Roman" w:hAnsi="Times New Roman"/>
          <w:bCs/>
          <w:iCs/>
          <w:sz w:val="24"/>
          <w:szCs w:val="24"/>
        </w:rPr>
      </w:pPr>
      <w:r w:rsidRPr="00121441">
        <w:rPr>
          <w:rFonts w:ascii="Times New Roman" w:hAnsi="Times New Roman"/>
          <w:bCs/>
          <w:iCs/>
          <w:sz w:val="24"/>
          <w:szCs w:val="24"/>
        </w:rPr>
        <w:t>в 2017 году – в сумме 503070,3 тыс</w:t>
      </w:r>
      <w:r w:rsidRPr="000B34E5">
        <w:rPr>
          <w:rFonts w:ascii="Times New Roman" w:hAnsi="Times New Roman"/>
          <w:bCs/>
          <w:iCs/>
          <w:sz w:val="24"/>
          <w:szCs w:val="24"/>
        </w:rPr>
        <w:t>. рублей</w:t>
      </w:r>
      <w:r>
        <w:rPr>
          <w:rFonts w:ascii="Times New Roman" w:hAnsi="Times New Roman"/>
          <w:bCs/>
          <w:iCs/>
          <w:sz w:val="24"/>
          <w:szCs w:val="24"/>
        </w:rPr>
        <w:t xml:space="preserve">, из них по объектам </w:t>
      </w:r>
      <w:r w:rsidRPr="00832590">
        <w:rPr>
          <w:rFonts w:ascii="Times New Roman" w:hAnsi="Times New Roman"/>
          <w:bCs/>
          <w:iCs/>
          <w:sz w:val="24"/>
          <w:szCs w:val="24"/>
        </w:rPr>
        <w:t>строительств</w:t>
      </w:r>
      <w:r>
        <w:rPr>
          <w:rFonts w:ascii="Times New Roman" w:hAnsi="Times New Roman"/>
          <w:bCs/>
          <w:iCs/>
          <w:sz w:val="24"/>
          <w:szCs w:val="24"/>
        </w:rPr>
        <w:t>а</w:t>
      </w:r>
      <w:r w:rsidRPr="00832590">
        <w:rPr>
          <w:rFonts w:ascii="Times New Roman" w:hAnsi="Times New Roman"/>
          <w:bCs/>
          <w:iCs/>
          <w:sz w:val="24"/>
          <w:szCs w:val="24"/>
        </w:rPr>
        <w:t xml:space="preserve"> и реконструкци</w:t>
      </w:r>
      <w:r>
        <w:rPr>
          <w:rFonts w:ascii="Times New Roman" w:hAnsi="Times New Roman"/>
          <w:bCs/>
          <w:iCs/>
          <w:sz w:val="24"/>
          <w:szCs w:val="24"/>
        </w:rPr>
        <w:t>и</w:t>
      </w:r>
      <w:r w:rsidRPr="00832590">
        <w:rPr>
          <w:rFonts w:ascii="Times New Roman" w:hAnsi="Times New Roman"/>
          <w:bCs/>
          <w:iCs/>
          <w:sz w:val="24"/>
          <w:szCs w:val="24"/>
        </w:rPr>
        <w:t xml:space="preserve"> автомобильных дорог общего пользования Амурской области </w:t>
      </w:r>
      <w:r>
        <w:rPr>
          <w:rFonts w:ascii="Times New Roman" w:hAnsi="Times New Roman"/>
          <w:bCs/>
          <w:iCs/>
          <w:sz w:val="24"/>
          <w:szCs w:val="24"/>
        </w:rPr>
        <w:t xml:space="preserve">– </w:t>
      </w:r>
      <w:r>
        <w:rPr>
          <w:rFonts w:ascii="Times New Roman" w:hAnsi="Times New Roman"/>
          <w:bCs/>
          <w:iCs/>
          <w:sz w:val="24"/>
          <w:szCs w:val="24"/>
        </w:rPr>
        <w:br/>
        <w:t>448493,3 тыс. рублей, «Строительство жилых домов для предоставления семьям, готовым взять на воспитание 5 и более детей-сирот и (или) детей, оставшихся без попечения родителей» - 54577,0 тыс. рублей</w:t>
      </w:r>
      <w:r w:rsidRPr="000B34E5">
        <w:rPr>
          <w:rFonts w:ascii="Times New Roman" w:hAnsi="Times New Roman"/>
          <w:bCs/>
          <w:iCs/>
          <w:sz w:val="24"/>
          <w:szCs w:val="24"/>
        </w:rPr>
        <w:t>.</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В соответствии со статьей 12 </w:t>
      </w:r>
      <w:r w:rsidRPr="00832590">
        <w:rPr>
          <w:rFonts w:ascii="Times New Roman" w:hAnsi="Times New Roman"/>
          <w:bCs/>
          <w:iCs/>
          <w:sz w:val="24"/>
          <w:szCs w:val="24"/>
        </w:rPr>
        <w:t xml:space="preserve">Закона Амурской области от 31.08.2007 № 368-ОЗ </w:t>
      </w:r>
      <w:r w:rsidRPr="00832590">
        <w:rPr>
          <w:rFonts w:ascii="Times New Roman" w:hAnsi="Times New Roman"/>
          <w:bCs/>
          <w:iCs/>
          <w:sz w:val="24"/>
          <w:szCs w:val="24"/>
        </w:rPr>
        <w:br/>
        <w:t xml:space="preserve">«О бюджетном процессе в Амурской области» </w:t>
      </w:r>
      <w:r>
        <w:rPr>
          <w:rFonts w:ascii="Times New Roman" w:hAnsi="Times New Roman"/>
          <w:sz w:val="24"/>
          <w:szCs w:val="24"/>
        </w:rPr>
        <w:t>бюджетные ассигнования на осуществление бюджетных инвестиций в объекты государственной собственности области, софинансирование капитальных вложений в которые осуществляется за счет межбюджетных субсидий из федерального бюджета, отражаются раздельно по каждому объекту на очередной финансовый год и плановый период</w:t>
      </w:r>
      <w:r w:rsidRPr="007A7926">
        <w:rPr>
          <w:rFonts w:ascii="Times New Roman" w:hAnsi="Times New Roman"/>
          <w:sz w:val="24"/>
          <w:szCs w:val="24"/>
        </w:rPr>
        <w:t xml:space="preserve"> </w:t>
      </w:r>
      <w:r>
        <w:rPr>
          <w:rFonts w:ascii="Times New Roman" w:hAnsi="Times New Roman"/>
          <w:sz w:val="24"/>
          <w:szCs w:val="24"/>
        </w:rPr>
        <w:t>и отражаются в приложении к закону об областном бюджете.</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Представленный законопроект об областном бюджете на 201</w:t>
      </w:r>
      <w:r>
        <w:rPr>
          <w:rFonts w:ascii="Times New Roman" w:hAnsi="Times New Roman"/>
          <w:bCs/>
          <w:iCs/>
          <w:sz w:val="24"/>
          <w:szCs w:val="24"/>
        </w:rPr>
        <w:t>5</w:t>
      </w:r>
      <w:r w:rsidRPr="00832590">
        <w:rPr>
          <w:rFonts w:ascii="Times New Roman" w:hAnsi="Times New Roman"/>
          <w:bCs/>
          <w:iCs/>
          <w:sz w:val="24"/>
          <w:szCs w:val="24"/>
        </w:rPr>
        <w:t xml:space="preserve"> год и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содержит сведения по одному инвестиционному проекту, осуществляемому на условиях софинансирования с федеральным бюджетом – «Малоэтажное быстровозводимое жилье, г. Тында, мкр. Таежный», расходы на строительство </w:t>
      </w:r>
      <w:r>
        <w:rPr>
          <w:rFonts w:ascii="Times New Roman" w:hAnsi="Times New Roman"/>
          <w:bCs/>
          <w:iCs/>
          <w:sz w:val="24"/>
          <w:szCs w:val="24"/>
        </w:rPr>
        <w:t xml:space="preserve">по данному объекту </w:t>
      </w:r>
      <w:r w:rsidRPr="00832590">
        <w:rPr>
          <w:rFonts w:ascii="Times New Roman" w:hAnsi="Times New Roman"/>
          <w:bCs/>
          <w:iCs/>
          <w:sz w:val="24"/>
          <w:szCs w:val="24"/>
        </w:rPr>
        <w:t>на 201</w:t>
      </w:r>
      <w:r>
        <w:rPr>
          <w:rFonts w:ascii="Times New Roman" w:hAnsi="Times New Roman"/>
          <w:bCs/>
          <w:iCs/>
          <w:sz w:val="24"/>
          <w:szCs w:val="24"/>
        </w:rPr>
        <w:t>5</w:t>
      </w:r>
      <w:r w:rsidRPr="00832590">
        <w:rPr>
          <w:rFonts w:ascii="Times New Roman" w:hAnsi="Times New Roman"/>
          <w:bCs/>
          <w:iCs/>
          <w:sz w:val="24"/>
          <w:szCs w:val="24"/>
        </w:rPr>
        <w:t xml:space="preserve"> год</w:t>
      </w:r>
      <w:r>
        <w:rPr>
          <w:rFonts w:ascii="Times New Roman" w:hAnsi="Times New Roman"/>
          <w:bCs/>
          <w:iCs/>
          <w:sz w:val="24"/>
          <w:szCs w:val="24"/>
        </w:rPr>
        <w:t xml:space="preserve"> </w:t>
      </w:r>
      <w:r w:rsidRPr="00832590">
        <w:rPr>
          <w:rFonts w:ascii="Times New Roman" w:hAnsi="Times New Roman"/>
          <w:bCs/>
          <w:iCs/>
          <w:sz w:val="24"/>
          <w:szCs w:val="24"/>
        </w:rPr>
        <w:t xml:space="preserve">за счет </w:t>
      </w:r>
      <w:r>
        <w:rPr>
          <w:rFonts w:ascii="Times New Roman" w:hAnsi="Times New Roman"/>
          <w:bCs/>
          <w:iCs/>
          <w:sz w:val="24"/>
          <w:szCs w:val="24"/>
        </w:rPr>
        <w:t xml:space="preserve">средств </w:t>
      </w:r>
      <w:r w:rsidRPr="00832590">
        <w:rPr>
          <w:rFonts w:ascii="Times New Roman" w:hAnsi="Times New Roman"/>
          <w:bCs/>
          <w:iCs/>
          <w:sz w:val="24"/>
          <w:szCs w:val="24"/>
        </w:rPr>
        <w:t xml:space="preserve">областного бюджета </w:t>
      </w:r>
      <w:r>
        <w:rPr>
          <w:rFonts w:ascii="Times New Roman" w:hAnsi="Times New Roman"/>
          <w:bCs/>
          <w:iCs/>
          <w:sz w:val="24"/>
          <w:szCs w:val="24"/>
        </w:rPr>
        <w:t xml:space="preserve">согласно приложению № 10 к законопроекту </w:t>
      </w:r>
      <w:r w:rsidRPr="00832590">
        <w:rPr>
          <w:rFonts w:ascii="Times New Roman" w:hAnsi="Times New Roman"/>
          <w:bCs/>
          <w:iCs/>
          <w:sz w:val="24"/>
          <w:szCs w:val="24"/>
        </w:rPr>
        <w:t xml:space="preserve">предусмотрены </w:t>
      </w:r>
      <w:r>
        <w:rPr>
          <w:rFonts w:ascii="Times New Roman" w:hAnsi="Times New Roman"/>
          <w:bCs/>
          <w:iCs/>
          <w:sz w:val="24"/>
          <w:szCs w:val="24"/>
        </w:rPr>
        <w:t xml:space="preserve">в объеме </w:t>
      </w:r>
      <w:r w:rsidR="009B7FD7">
        <w:rPr>
          <w:rFonts w:ascii="Times New Roman" w:hAnsi="Times New Roman"/>
          <w:bCs/>
          <w:iCs/>
          <w:sz w:val="24"/>
          <w:szCs w:val="24"/>
        </w:rPr>
        <w:t>140070,9 тыс. рублей.</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Контрольно-счетная палата Амурской области обращает внимание на наличие отдельных недостатков при отражении предусмотренных объемов бюджетных ассигнований на капитальные вложения в объекты государственной собственности в приложениях к законопроекту и документе, представляемом одновременно с законопроектом - </w:t>
      </w:r>
      <w:r w:rsidRPr="00832590">
        <w:rPr>
          <w:rFonts w:ascii="Times New Roman" w:hAnsi="Times New Roman"/>
          <w:bCs/>
          <w:iCs/>
          <w:sz w:val="24"/>
          <w:szCs w:val="24"/>
        </w:rPr>
        <w:t>«Переч</w:t>
      </w:r>
      <w:r>
        <w:rPr>
          <w:rFonts w:ascii="Times New Roman" w:hAnsi="Times New Roman"/>
          <w:bCs/>
          <w:iCs/>
          <w:sz w:val="24"/>
          <w:szCs w:val="24"/>
        </w:rPr>
        <w:t>не</w:t>
      </w:r>
      <w:r w:rsidRPr="00832590">
        <w:rPr>
          <w:rFonts w:ascii="Times New Roman" w:hAnsi="Times New Roman"/>
          <w:bCs/>
          <w:iCs/>
          <w:sz w:val="24"/>
          <w:szCs w:val="24"/>
        </w:rPr>
        <w:t xml:space="preserve"> объектов капитального строительства объектов </w:t>
      </w:r>
      <w:r>
        <w:rPr>
          <w:rFonts w:ascii="Times New Roman" w:hAnsi="Times New Roman"/>
          <w:bCs/>
          <w:iCs/>
          <w:sz w:val="24"/>
          <w:szCs w:val="24"/>
        </w:rPr>
        <w:t>областной собственности</w:t>
      </w:r>
      <w:r w:rsidRPr="00832590">
        <w:rPr>
          <w:rFonts w:ascii="Times New Roman" w:hAnsi="Times New Roman"/>
          <w:bCs/>
          <w:iCs/>
          <w:sz w:val="24"/>
          <w:szCs w:val="24"/>
        </w:rPr>
        <w:t>, учтенных в проекте закона области об областном бюджете, и объемы бюджетных ассигнований, направленных на финансовое обеспечение этих объектов»</w:t>
      </w:r>
      <w:r>
        <w:rPr>
          <w:rFonts w:ascii="Times New Roman" w:hAnsi="Times New Roman"/>
          <w:bCs/>
          <w:iCs/>
          <w:sz w:val="24"/>
          <w:szCs w:val="24"/>
        </w:rPr>
        <w:t>. Так в «</w:t>
      </w:r>
      <w:r w:rsidRPr="007A7926">
        <w:rPr>
          <w:rFonts w:ascii="Times New Roman" w:hAnsi="Times New Roman"/>
          <w:bCs/>
          <w:iCs/>
          <w:sz w:val="24"/>
          <w:szCs w:val="24"/>
        </w:rPr>
        <w:t>Распределени</w:t>
      </w:r>
      <w:r>
        <w:rPr>
          <w:rFonts w:ascii="Times New Roman" w:hAnsi="Times New Roman"/>
          <w:bCs/>
          <w:iCs/>
          <w:sz w:val="24"/>
          <w:szCs w:val="24"/>
        </w:rPr>
        <w:t>и</w:t>
      </w:r>
      <w:r w:rsidRPr="007A7926">
        <w:rPr>
          <w:rFonts w:ascii="Times New Roman" w:hAnsi="Times New Roman"/>
          <w:bCs/>
          <w:iCs/>
          <w:sz w:val="24"/>
          <w:szCs w:val="24"/>
        </w:rPr>
        <w:t xml:space="preserve">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2015 год и плановый период 2016 и 2017 годов</w:t>
      </w:r>
      <w:r>
        <w:rPr>
          <w:rFonts w:ascii="Times New Roman" w:hAnsi="Times New Roman"/>
          <w:bCs/>
          <w:iCs/>
          <w:sz w:val="24"/>
          <w:szCs w:val="24"/>
        </w:rPr>
        <w:t>» (приложение № 8 к законопроекту),</w:t>
      </w:r>
      <w:r w:rsidRPr="007A7926">
        <w:rPr>
          <w:rFonts w:ascii="Times New Roman" w:hAnsi="Times New Roman"/>
          <w:bCs/>
          <w:iCs/>
          <w:sz w:val="24"/>
          <w:szCs w:val="24"/>
        </w:rPr>
        <w:t xml:space="preserve"> </w:t>
      </w:r>
      <w:r>
        <w:rPr>
          <w:rFonts w:ascii="Times New Roman" w:hAnsi="Times New Roman"/>
          <w:bCs/>
          <w:iCs/>
          <w:sz w:val="24"/>
          <w:szCs w:val="24"/>
        </w:rPr>
        <w:t xml:space="preserve">«Ведомственной структуре </w:t>
      </w:r>
      <w:r w:rsidRPr="00432B19">
        <w:rPr>
          <w:rFonts w:ascii="Times New Roman" w:hAnsi="Times New Roman"/>
          <w:bCs/>
          <w:iCs/>
          <w:sz w:val="24"/>
          <w:szCs w:val="24"/>
        </w:rPr>
        <w:t xml:space="preserve">расходов областного </w:t>
      </w:r>
      <w:r w:rsidRPr="00432B19">
        <w:rPr>
          <w:rFonts w:ascii="Times New Roman" w:hAnsi="Times New Roman"/>
          <w:bCs/>
          <w:iCs/>
          <w:sz w:val="24"/>
          <w:szCs w:val="24"/>
        </w:rPr>
        <w:lastRenderedPageBreak/>
        <w:t>бюджета на 2015 год и плановый период 2016 и 2017 годов</w:t>
      </w:r>
      <w:r>
        <w:rPr>
          <w:rFonts w:ascii="Times New Roman" w:hAnsi="Times New Roman"/>
          <w:bCs/>
          <w:iCs/>
          <w:sz w:val="24"/>
          <w:szCs w:val="24"/>
        </w:rPr>
        <w:t>» (приложение № 9 к законопроекту), и в п</w:t>
      </w:r>
      <w:r w:rsidRPr="00832590">
        <w:rPr>
          <w:rFonts w:ascii="Times New Roman" w:hAnsi="Times New Roman"/>
          <w:bCs/>
          <w:iCs/>
          <w:sz w:val="24"/>
          <w:szCs w:val="24"/>
        </w:rPr>
        <w:t>редставленн</w:t>
      </w:r>
      <w:r>
        <w:rPr>
          <w:rFonts w:ascii="Times New Roman" w:hAnsi="Times New Roman"/>
          <w:bCs/>
          <w:iCs/>
          <w:sz w:val="24"/>
          <w:szCs w:val="24"/>
        </w:rPr>
        <w:t>ом</w:t>
      </w:r>
      <w:r w:rsidRPr="00832590">
        <w:rPr>
          <w:rFonts w:ascii="Times New Roman" w:hAnsi="Times New Roman"/>
          <w:bCs/>
          <w:iCs/>
          <w:sz w:val="24"/>
          <w:szCs w:val="24"/>
        </w:rPr>
        <w:t xml:space="preserve"> с проектом областного бюджета на 201</w:t>
      </w:r>
      <w:r>
        <w:rPr>
          <w:rFonts w:ascii="Times New Roman" w:hAnsi="Times New Roman"/>
          <w:bCs/>
          <w:iCs/>
          <w:sz w:val="24"/>
          <w:szCs w:val="24"/>
        </w:rPr>
        <w:t>5</w:t>
      </w:r>
      <w:r w:rsidRPr="00832590">
        <w:rPr>
          <w:rFonts w:ascii="Times New Roman" w:hAnsi="Times New Roman"/>
          <w:bCs/>
          <w:iCs/>
          <w:sz w:val="24"/>
          <w:szCs w:val="24"/>
        </w:rPr>
        <w:t xml:space="preserve"> год и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«Переч</w:t>
      </w:r>
      <w:r>
        <w:rPr>
          <w:rFonts w:ascii="Times New Roman" w:hAnsi="Times New Roman"/>
          <w:bCs/>
          <w:iCs/>
          <w:sz w:val="24"/>
          <w:szCs w:val="24"/>
        </w:rPr>
        <w:t>не</w:t>
      </w:r>
      <w:r w:rsidRPr="00832590">
        <w:rPr>
          <w:rFonts w:ascii="Times New Roman" w:hAnsi="Times New Roman"/>
          <w:bCs/>
          <w:iCs/>
          <w:sz w:val="24"/>
          <w:szCs w:val="24"/>
        </w:rPr>
        <w:t xml:space="preserve"> объектов капитального строительства объектов </w:t>
      </w:r>
      <w:r>
        <w:rPr>
          <w:rFonts w:ascii="Times New Roman" w:hAnsi="Times New Roman"/>
          <w:bCs/>
          <w:iCs/>
          <w:sz w:val="24"/>
          <w:szCs w:val="24"/>
        </w:rPr>
        <w:t>областной собственности</w:t>
      </w:r>
      <w:r w:rsidRPr="00832590">
        <w:rPr>
          <w:rFonts w:ascii="Times New Roman" w:hAnsi="Times New Roman"/>
          <w:bCs/>
          <w:iCs/>
          <w:sz w:val="24"/>
          <w:szCs w:val="24"/>
        </w:rPr>
        <w:t xml:space="preserve">, учтенных в проекте закона области об областном бюджете, и объемы бюджетных ассигнований, направленных на финансовое обеспечение этих объектов» </w:t>
      </w:r>
      <w:r>
        <w:rPr>
          <w:rFonts w:ascii="Times New Roman" w:hAnsi="Times New Roman"/>
          <w:bCs/>
          <w:iCs/>
          <w:sz w:val="24"/>
          <w:szCs w:val="24"/>
        </w:rPr>
        <w:t xml:space="preserve">расходы на капитальные вложения по объекту </w:t>
      </w:r>
      <w:r w:rsidRPr="00832590">
        <w:rPr>
          <w:rFonts w:ascii="Times New Roman" w:hAnsi="Times New Roman"/>
          <w:bCs/>
          <w:iCs/>
          <w:sz w:val="24"/>
          <w:szCs w:val="24"/>
        </w:rPr>
        <w:t xml:space="preserve">«Малоэтажное быстровозводимое жилье, г. Тында, мкр. Таежный» </w:t>
      </w:r>
      <w:r>
        <w:rPr>
          <w:rFonts w:ascii="Times New Roman" w:hAnsi="Times New Roman"/>
          <w:bCs/>
          <w:iCs/>
          <w:sz w:val="24"/>
          <w:szCs w:val="24"/>
        </w:rPr>
        <w:t xml:space="preserve">на 2015 год отражены в объеме </w:t>
      </w:r>
      <w:r w:rsidRPr="00832590">
        <w:rPr>
          <w:rFonts w:ascii="Times New Roman" w:hAnsi="Times New Roman"/>
          <w:bCs/>
          <w:iCs/>
          <w:sz w:val="24"/>
          <w:szCs w:val="24"/>
        </w:rPr>
        <w:t>13</w:t>
      </w:r>
      <w:r>
        <w:rPr>
          <w:rFonts w:ascii="Times New Roman" w:hAnsi="Times New Roman"/>
          <w:bCs/>
          <w:iCs/>
          <w:sz w:val="24"/>
          <w:szCs w:val="24"/>
        </w:rPr>
        <w:t xml:space="preserve">4570,9 тыс. рублей, в приложении № 10 к законопроекту бюджетные ассигнования на осуществление бюджетных инвестиций по указанному объекту отражены в объеме 140070,9 тыс. рублей. Учитывая, что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ой</w:t>
      </w:r>
      <w:r w:rsidRPr="000B34E5">
        <w:rPr>
          <w:rFonts w:ascii="Times New Roman" w:hAnsi="Times New Roman"/>
          <w:bCs/>
          <w:iCs/>
          <w:sz w:val="24"/>
          <w:szCs w:val="24"/>
        </w:rPr>
        <w:t xml:space="preserve"> «Обеспечение доступным и качественным жильем населения Амурской области на 2014-2020 годы»</w:t>
      </w:r>
      <w:r>
        <w:rPr>
          <w:rFonts w:ascii="Times New Roman" w:hAnsi="Times New Roman"/>
          <w:bCs/>
          <w:iCs/>
          <w:sz w:val="24"/>
          <w:szCs w:val="24"/>
        </w:rPr>
        <w:t xml:space="preserve">, утвержденной постановлением Правительства Амурской области от 25.09.2013 № 446 (в редакции постановления Правительства Амурской области от 25.09.2014 № 582), расходы на строительство объекта </w:t>
      </w:r>
      <w:r w:rsidRPr="00832590">
        <w:rPr>
          <w:rFonts w:ascii="Times New Roman" w:hAnsi="Times New Roman"/>
          <w:bCs/>
          <w:iCs/>
          <w:sz w:val="24"/>
          <w:szCs w:val="24"/>
        </w:rPr>
        <w:t xml:space="preserve">«Малоэтажное быстровозводимое жилье, г. Тында, мкр. Таежный» </w:t>
      </w:r>
      <w:r>
        <w:rPr>
          <w:rFonts w:ascii="Times New Roman" w:hAnsi="Times New Roman"/>
          <w:bCs/>
          <w:iCs/>
          <w:sz w:val="24"/>
          <w:szCs w:val="24"/>
        </w:rPr>
        <w:t xml:space="preserve">на 2015 год предусмотрены в объеме </w:t>
      </w:r>
      <w:r w:rsidRPr="00832590">
        <w:rPr>
          <w:rFonts w:ascii="Times New Roman" w:hAnsi="Times New Roman"/>
          <w:bCs/>
          <w:iCs/>
          <w:sz w:val="24"/>
          <w:szCs w:val="24"/>
        </w:rPr>
        <w:t>13</w:t>
      </w:r>
      <w:r>
        <w:rPr>
          <w:rFonts w:ascii="Times New Roman" w:hAnsi="Times New Roman"/>
          <w:bCs/>
          <w:iCs/>
          <w:sz w:val="24"/>
          <w:szCs w:val="24"/>
        </w:rPr>
        <w:t>4570,9 тыс. рублей, объемы по указанному объекту в приложении № 10 к законопроекту завышены на 5500,0 тыс. рублей</w:t>
      </w:r>
      <w:r w:rsidRPr="00832590">
        <w:rPr>
          <w:rFonts w:ascii="Times New Roman" w:hAnsi="Times New Roman"/>
          <w:bCs/>
          <w:iCs/>
          <w:sz w:val="24"/>
          <w:szCs w:val="24"/>
        </w:rPr>
        <w:t>.</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Кроме того, бюджетные ассигнования по строительству и реконструкции объектов автомобильных дорог общего пользования Амурской области в </w:t>
      </w:r>
      <w:r w:rsidRPr="00832590">
        <w:rPr>
          <w:rFonts w:ascii="Times New Roman" w:hAnsi="Times New Roman"/>
          <w:bCs/>
          <w:iCs/>
          <w:sz w:val="24"/>
          <w:szCs w:val="24"/>
        </w:rPr>
        <w:t>«Переч</w:t>
      </w:r>
      <w:r>
        <w:rPr>
          <w:rFonts w:ascii="Times New Roman" w:hAnsi="Times New Roman"/>
          <w:bCs/>
          <w:iCs/>
          <w:sz w:val="24"/>
          <w:szCs w:val="24"/>
        </w:rPr>
        <w:t>не</w:t>
      </w:r>
      <w:r w:rsidRPr="00832590">
        <w:rPr>
          <w:rFonts w:ascii="Times New Roman" w:hAnsi="Times New Roman"/>
          <w:bCs/>
          <w:iCs/>
          <w:sz w:val="24"/>
          <w:szCs w:val="24"/>
        </w:rPr>
        <w:t xml:space="preserve"> объектов капитального строительства </w:t>
      </w:r>
      <w:r>
        <w:rPr>
          <w:rFonts w:ascii="Times New Roman" w:hAnsi="Times New Roman"/>
          <w:bCs/>
          <w:iCs/>
          <w:sz w:val="24"/>
          <w:szCs w:val="24"/>
        </w:rPr>
        <w:t>областной собственности</w:t>
      </w:r>
      <w:r w:rsidRPr="00832590">
        <w:rPr>
          <w:rFonts w:ascii="Times New Roman" w:hAnsi="Times New Roman"/>
          <w:bCs/>
          <w:iCs/>
          <w:sz w:val="24"/>
          <w:szCs w:val="24"/>
        </w:rPr>
        <w:t>, учтенных в проекте закона области об областном бюджете, и объемы бюджетных ассигнований, направленных на финансовое обеспечение этих объектов»</w:t>
      </w:r>
      <w:r>
        <w:rPr>
          <w:rFonts w:ascii="Times New Roman" w:hAnsi="Times New Roman"/>
          <w:bCs/>
          <w:iCs/>
          <w:sz w:val="24"/>
          <w:szCs w:val="24"/>
        </w:rPr>
        <w:t xml:space="preserve"> (далее - Перечень) на 2017 год отражены по итоговой строке в объеме 438493,3 тыс. рублей, в «</w:t>
      </w:r>
      <w:r w:rsidRPr="007A7926">
        <w:rPr>
          <w:rFonts w:ascii="Times New Roman" w:hAnsi="Times New Roman"/>
          <w:bCs/>
          <w:iCs/>
          <w:sz w:val="24"/>
          <w:szCs w:val="24"/>
        </w:rPr>
        <w:t>Распределени</w:t>
      </w:r>
      <w:r>
        <w:rPr>
          <w:rFonts w:ascii="Times New Roman" w:hAnsi="Times New Roman"/>
          <w:bCs/>
          <w:iCs/>
          <w:sz w:val="24"/>
          <w:szCs w:val="24"/>
        </w:rPr>
        <w:t>и</w:t>
      </w:r>
      <w:r w:rsidRPr="007A7926">
        <w:rPr>
          <w:rFonts w:ascii="Times New Roman" w:hAnsi="Times New Roman"/>
          <w:bCs/>
          <w:iCs/>
          <w:sz w:val="24"/>
          <w:szCs w:val="24"/>
        </w:rPr>
        <w:t xml:space="preserve">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2015 год и плановый период 2016 и 2017 годов</w:t>
      </w:r>
      <w:r>
        <w:rPr>
          <w:rFonts w:ascii="Times New Roman" w:hAnsi="Times New Roman"/>
          <w:bCs/>
          <w:iCs/>
          <w:sz w:val="24"/>
          <w:szCs w:val="24"/>
        </w:rPr>
        <w:t xml:space="preserve">» (приложение № 8 к законопроекту) и в «Ведомственной структуре </w:t>
      </w:r>
      <w:r w:rsidRPr="00432B19">
        <w:rPr>
          <w:rFonts w:ascii="Times New Roman" w:hAnsi="Times New Roman"/>
          <w:bCs/>
          <w:iCs/>
          <w:sz w:val="24"/>
          <w:szCs w:val="24"/>
        </w:rPr>
        <w:t>расходов областного бюджета на 2015 год и плановый период 2016 и 2017 годов</w:t>
      </w:r>
      <w:r>
        <w:rPr>
          <w:rFonts w:ascii="Times New Roman" w:hAnsi="Times New Roman"/>
          <w:bCs/>
          <w:iCs/>
          <w:sz w:val="24"/>
          <w:szCs w:val="24"/>
        </w:rPr>
        <w:t xml:space="preserve">» (приложение № 9 к законопроекту) – в объеме 448493,3 тыс. рублей. Учитывая, что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ой</w:t>
      </w:r>
      <w:r w:rsidRPr="000B34E5">
        <w:rPr>
          <w:rFonts w:ascii="Times New Roman" w:hAnsi="Times New Roman"/>
          <w:bCs/>
          <w:iCs/>
          <w:sz w:val="24"/>
          <w:szCs w:val="24"/>
        </w:rPr>
        <w:t xml:space="preserve"> «Развитие транспортной системы Амурской области </w:t>
      </w:r>
      <w:r>
        <w:rPr>
          <w:rFonts w:ascii="Times New Roman" w:hAnsi="Times New Roman"/>
          <w:bCs/>
          <w:iCs/>
          <w:sz w:val="24"/>
          <w:szCs w:val="24"/>
        </w:rPr>
        <w:br/>
      </w:r>
      <w:r w:rsidRPr="000B34E5">
        <w:rPr>
          <w:rFonts w:ascii="Times New Roman" w:hAnsi="Times New Roman"/>
          <w:bCs/>
          <w:iCs/>
          <w:sz w:val="24"/>
          <w:szCs w:val="24"/>
        </w:rPr>
        <w:t>на 2014-2020 годы»</w:t>
      </w:r>
      <w:r>
        <w:rPr>
          <w:rFonts w:ascii="Times New Roman" w:hAnsi="Times New Roman"/>
          <w:bCs/>
          <w:iCs/>
          <w:sz w:val="24"/>
          <w:szCs w:val="24"/>
        </w:rPr>
        <w:t xml:space="preserve">, утвержденной постановлением Правительства Амурской области от 25.09.2013 № 450 (в редакции постановления Правительства Амурской области </w:t>
      </w:r>
      <w:r>
        <w:rPr>
          <w:rFonts w:ascii="Times New Roman" w:hAnsi="Times New Roman"/>
          <w:bCs/>
          <w:iCs/>
          <w:sz w:val="24"/>
          <w:szCs w:val="24"/>
        </w:rPr>
        <w:br/>
        <w:t xml:space="preserve">от 25.09.2014 № 580), расходы на строительство и реконструкцию объектов автомобильных дорог общего пользования Амурской области на 2017 год предусмотрены в объеме </w:t>
      </w:r>
      <w:r>
        <w:rPr>
          <w:rFonts w:ascii="Times New Roman" w:hAnsi="Times New Roman"/>
          <w:bCs/>
          <w:iCs/>
          <w:sz w:val="24"/>
          <w:szCs w:val="24"/>
        </w:rPr>
        <w:br/>
        <w:t xml:space="preserve">448493,3 тыс. рублей, объемы по указанному мероприятию в Перечне занижены </w:t>
      </w:r>
      <w:r>
        <w:rPr>
          <w:rFonts w:ascii="Times New Roman" w:hAnsi="Times New Roman"/>
          <w:bCs/>
          <w:iCs/>
          <w:sz w:val="24"/>
          <w:szCs w:val="24"/>
        </w:rPr>
        <w:br/>
        <w:t>на 10000,0 тыс. рублей</w:t>
      </w:r>
      <w:r w:rsidRPr="00832590">
        <w:rPr>
          <w:rFonts w:ascii="Times New Roman" w:hAnsi="Times New Roman"/>
          <w:bCs/>
          <w:iCs/>
          <w:sz w:val="24"/>
          <w:szCs w:val="24"/>
        </w:rPr>
        <w:t>.</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Согласно ведомственной структур</w:t>
      </w:r>
      <w:r>
        <w:rPr>
          <w:rFonts w:ascii="Times New Roman" w:hAnsi="Times New Roman"/>
          <w:bCs/>
          <w:iCs/>
          <w:sz w:val="24"/>
          <w:szCs w:val="24"/>
        </w:rPr>
        <w:t>е</w:t>
      </w:r>
      <w:r w:rsidRPr="00832590">
        <w:rPr>
          <w:rFonts w:ascii="Times New Roman" w:hAnsi="Times New Roman"/>
          <w:bCs/>
          <w:iCs/>
          <w:sz w:val="24"/>
          <w:szCs w:val="24"/>
        </w:rPr>
        <w:t xml:space="preserve"> расходов областного бюджета на 201</w:t>
      </w:r>
      <w:r>
        <w:rPr>
          <w:rFonts w:ascii="Times New Roman" w:hAnsi="Times New Roman"/>
          <w:bCs/>
          <w:iCs/>
          <w:sz w:val="24"/>
          <w:szCs w:val="24"/>
        </w:rPr>
        <w:t>5</w:t>
      </w:r>
      <w:r w:rsidRPr="00832590">
        <w:rPr>
          <w:rFonts w:ascii="Times New Roman" w:hAnsi="Times New Roman"/>
          <w:bCs/>
          <w:iCs/>
          <w:sz w:val="24"/>
          <w:szCs w:val="24"/>
        </w:rPr>
        <w:t xml:space="preserve"> год и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предусмотрено выделение бюджетных ассигнований на капитальные вложения в объекты </w:t>
      </w:r>
      <w:r>
        <w:rPr>
          <w:rFonts w:ascii="Times New Roman" w:hAnsi="Times New Roman"/>
          <w:bCs/>
          <w:iCs/>
          <w:sz w:val="24"/>
          <w:szCs w:val="24"/>
        </w:rPr>
        <w:t>муниципальной</w:t>
      </w:r>
      <w:r w:rsidRPr="00832590">
        <w:rPr>
          <w:rFonts w:ascii="Times New Roman" w:hAnsi="Times New Roman"/>
          <w:bCs/>
          <w:iCs/>
          <w:sz w:val="24"/>
          <w:szCs w:val="24"/>
        </w:rPr>
        <w:t xml:space="preserve"> собственности за счет</w:t>
      </w:r>
      <w:r>
        <w:rPr>
          <w:rFonts w:ascii="Times New Roman" w:hAnsi="Times New Roman"/>
          <w:bCs/>
          <w:iCs/>
          <w:sz w:val="24"/>
          <w:szCs w:val="24"/>
        </w:rPr>
        <w:t xml:space="preserve"> средств областного бюджета в виде межбюджетных трансфертов по двум</w:t>
      </w:r>
      <w:r w:rsidRPr="00832590">
        <w:rPr>
          <w:rFonts w:ascii="Times New Roman" w:hAnsi="Times New Roman"/>
          <w:bCs/>
          <w:iCs/>
          <w:sz w:val="24"/>
          <w:szCs w:val="24"/>
        </w:rPr>
        <w:t xml:space="preserve"> государственны</w:t>
      </w:r>
      <w:r>
        <w:rPr>
          <w:rFonts w:ascii="Times New Roman" w:hAnsi="Times New Roman"/>
          <w:bCs/>
          <w:iCs/>
          <w:sz w:val="24"/>
          <w:szCs w:val="24"/>
        </w:rPr>
        <w:t>м</w:t>
      </w:r>
      <w:r w:rsidRPr="00832590">
        <w:rPr>
          <w:rFonts w:ascii="Times New Roman" w:hAnsi="Times New Roman"/>
          <w:bCs/>
          <w:iCs/>
          <w:sz w:val="24"/>
          <w:szCs w:val="24"/>
        </w:rPr>
        <w:t xml:space="preserve"> программ</w:t>
      </w:r>
      <w:r>
        <w:rPr>
          <w:rFonts w:ascii="Times New Roman" w:hAnsi="Times New Roman"/>
          <w:bCs/>
          <w:iCs/>
          <w:sz w:val="24"/>
          <w:szCs w:val="24"/>
        </w:rPr>
        <w:t>ам и двум</w:t>
      </w:r>
      <w:r w:rsidRPr="00832590">
        <w:rPr>
          <w:rFonts w:ascii="Times New Roman" w:hAnsi="Times New Roman"/>
          <w:bCs/>
          <w:iCs/>
          <w:sz w:val="24"/>
          <w:szCs w:val="24"/>
        </w:rPr>
        <w:t xml:space="preserve"> главным распорядителям бюджетных средств:</w:t>
      </w:r>
    </w:p>
    <w:p w:rsidR="00F02FDF" w:rsidRPr="000B34E5" w:rsidRDefault="00F02FDF" w:rsidP="00DA5F4F">
      <w:pPr>
        <w:pStyle w:val="ad"/>
        <w:widowControl w:val="0"/>
        <w:numPr>
          <w:ilvl w:val="0"/>
          <w:numId w:val="17"/>
        </w:numPr>
        <w:tabs>
          <w:tab w:val="left" w:pos="540"/>
          <w:tab w:val="left" w:pos="993"/>
        </w:tabs>
        <w:spacing w:after="0" w:line="240" w:lineRule="auto"/>
        <w:ind w:left="0" w:firstLine="709"/>
        <w:jc w:val="both"/>
        <w:rPr>
          <w:rFonts w:ascii="Times New Roman" w:hAnsi="Times New Roman"/>
          <w:bCs/>
          <w:iCs/>
          <w:sz w:val="24"/>
          <w:szCs w:val="24"/>
        </w:rPr>
      </w:pPr>
      <w:r w:rsidRPr="000B34E5">
        <w:rPr>
          <w:rFonts w:ascii="Times New Roman" w:hAnsi="Times New Roman"/>
          <w:bCs/>
          <w:iCs/>
          <w:sz w:val="24"/>
          <w:szCs w:val="24"/>
        </w:rPr>
        <w:t xml:space="preserve">министерству </w:t>
      </w:r>
      <w:r>
        <w:rPr>
          <w:rFonts w:ascii="Times New Roman" w:hAnsi="Times New Roman"/>
          <w:bCs/>
          <w:iCs/>
          <w:sz w:val="24"/>
          <w:szCs w:val="24"/>
        </w:rPr>
        <w:t>по физической культуре и спорту</w:t>
      </w:r>
      <w:r w:rsidRPr="000B34E5">
        <w:rPr>
          <w:rFonts w:ascii="Times New Roman" w:hAnsi="Times New Roman"/>
          <w:bCs/>
          <w:iCs/>
          <w:sz w:val="24"/>
          <w:szCs w:val="24"/>
        </w:rPr>
        <w:t xml:space="preserve"> в рамках </w:t>
      </w:r>
      <w:r>
        <w:rPr>
          <w:rFonts w:ascii="Times New Roman" w:hAnsi="Times New Roman"/>
          <w:bCs/>
          <w:iCs/>
          <w:sz w:val="24"/>
          <w:szCs w:val="24"/>
        </w:rPr>
        <w:t xml:space="preserve">подпрограммы «Развитие инфраструктуры физической культуры, массового спорта и поддержка спорта высших достижений»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ы «Развитие физической культуры и спорта на территории Амурской области на 2014-2020 годы»</w:t>
      </w:r>
      <w:r w:rsidRPr="000B34E5">
        <w:rPr>
          <w:rFonts w:ascii="Times New Roman" w:hAnsi="Times New Roman"/>
          <w:bCs/>
          <w:iCs/>
          <w:sz w:val="24"/>
          <w:szCs w:val="24"/>
        </w:rPr>
        <w:t>;</w:t>
      </w:r>
    </w:p>
    <w:p w:rsidR="00F02FDF" w:rsidRPr="000B34E5" w:rsidRDefault="00F02FDF" w:rsidP="00DA5F4F">
      <w:pPr>
        <w:pStyle w:val="ad"/>
        <w:widowControl w:val="0"/>
        <w:numPr>
          <w:ilvl w:val="0"/>
          <w:numId w:val="17"/>
        </w:numPr>
        <w:tabs>
          <w:tab w:val="left" w:pos="540"/>
          <w:tab w:val="left" w:pos="993"/>
        </w:tabs>
        <w:spacing w:after="0" w:line="240" w:lineRule="auto"/>
        <w:ind w:left="0" w:firstLine="709"/>
        <w:jc w:val="both"/>
        <w:rPr>
          <w:rFonts w:ascii="Times New Roman" w:hAnsi="Times New Roman"/>
          <w:bCs/>
          <w:iCs/>
          <w:sz w:val="24"/>
          <w:szCs w:val="24"/>
        </w:rPr>
      </w:pPr>
      <w:r w:rsidRPr="000B34E5">
        <w:rPr>
          <w:rFonts w:ascii="Times New Roman" w:hAnsi="Times New Roman"/>
          <w:bCs/>
          <w:iCs/>
          <w:sz w:val="24"/>
          <w:szCs w:val="24"/>
        </w:rPr>
        <w:t xml:space="preserve">министерству </w:t>
      </w:r>
      <w:r>
        <w:rPr>
          <w:rFonts w:ascii="Times New Roman" w:hAnsi="Times New Roman"/>
          <w:bCs/>
          <w:iCs/>
          <w:sz w:val="24"/>
          <w:szCs w:val="24"/>
        </w:rPr>
        <w:t>внутренней и информационной политики</w:t>
      </w:r>
      <w:r w:rsidRPr="000B34E5">
        <w:rPr>
          <w:rFonts w:ascii="Times New Roman" w:hAnsi="Times New Roman"/>
          <w:bCs/>
          <w:iCs/>
          <w:sz w:val="24"/>
          <w:szCs w:val="24"/>
        </w:rPr>
        <w:t xml:space="preserve"> в рамках </w:t>
      </w:r>
      <w:r>
        <w:rPr>
          <w:rFonts w:ascii="Times New Roman" w:hAnsi="Times New Roman"/>
          <w:bCs/>
          <w:iCs/>
          <w:sz w:val="24"/>
          <w:szCs w:val="24"/>
        </w:rPr>
        <w:t xml:space="preserve">подпрограммы «Этнокультурное наследие» </w:t>
      </w:r>
      <w:r w:rsidRPr="000B34E5">
        <w:rPr>
          <w:rFonts w:ascii="Times New Roman" w:hAnsi="Times New Roman"/>
          <w:bCs/>
          <w:iCs/>
          <w:sz w:val="24"/>
          <w:szCs w:val="24"/>
        </w:rPr>
        <w:t xml:space="preserve">государственной программы «Развитие </w:t>
      </w:r>
      <w:r>
        <w:rPr>
          <w:rFonts w:ascii="Times New Roman" w:hAnsi="Times New Roman"/>
          <w:bCs/>
          <w:iCs/>
          <w:sz w:val="24"/>
          <w:szCs w:val="24"/>
        </w:rPr>
        <w:t>и сохранение культуры и искусства</w:t>
      </w:r>
      <w:r w:rsidRPr="000B34E5">
        <w:rPr>
          <w:rFonts w:ascii="Times New Roman" w:hAnsi="Times New Roman"/>
          <w:bCs/>
          <w:iCs/>
          <w:sz w:val="24"/>
          <w:szCs w:val="24"/>
        </w:rPr>
        <w:t xml:space="preserve"> Амурской области на 2014-2020 </w:t>
      </w:r>
      <w:r>
        <w:rPr>
          <w:rFonts w:ascii="Times New Roman" w:hAnsi="Times New Roman"/>
          <w:bCs/>
          <w:iCs/>
          <w:sz w:val="24"/>
          <w:szCs w:val="24"/>
        </w:rPr>
        <w:t>годы».</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 xml:space="preserve">Объемы предусмотренных законопроектом бюджетных ассигнований на капитальные вложения в объекты </w:t>
      </w:r>
      <w:r>
        <w:rPr>
          <w:rFonts w:ascii="Times New Roman" w:hAnsi="Times New Roman"/>
          <w:bCs/>
          <w:iCs/>
          <w:sz w:val="24"/>
          <w:szCs w:val="24"/>
        </w:rPr>
        <w:t>муниципаль</w:t>
      </w:r>
      <w:r w:rsidRPr="00832590">
        <w:rPr>
          <w:rFonts w:ascii="Times New Roman" w:hAnsi="Times New Roman"/>
          <w:bCs/>
          <w:iCs/>
          <w:sz w:val="24"/>
          <w:szCs w:val="24"/>
        </w:rPr>
        <w:t>ной собственности составляют:</w:t>
      </w:r>
    </w:p>
    <w:p w:rsidR="00F02FDF" w:rsidRPr="00121441" w:rsidRDefault="00F02FDF" w:rsidP="00DA5F4F">
      <w:pPr>
        <w:pStyle w:val="ad"/>
        <w:widowControl w:val="0"/>
        <w:numPr>
          <w:ilvl w:val="0"/>
          <w:numId w:val="18"/>
        </w:numPr>
        <w:tabs>
          <w:tab w:val="left" w:pos="540"/>
        </w:tabs>
        <w:spacing w:after="0" w:line="240" w:lineRule="auto"/>
        <w:ind w:left="0" w:firstLine="709"/>
        <w:jc w:val="both"/>
        <w:rPr>
          <w:rFonts w:ascii="Times New Roman" w:hAnsi="Times New Roman"/>
          <w:bCs/>
          <w:iCs/>
          <w:sz w:val="24"/>
          <w:szCs w:val="24"/>
        </w:rPr>
      </w:pPr>
      <w:r w:rsidRPr="000B34E5">
        <w:rPr>
          <w:rFonts w:ascii="Times New Roman" w:hAnsi="Times New Roman"/>
          <w:bCs/>
          <w:iCs/>
          <w:sz w:val="24"/>
          <w:szCs w:val="24"/>
        </w:rPr>
        <w:t>в 201</w:t>
      </w:r>
      <w:r>
        <w:rPr>
          <w:rFonts w:ascii="Times New Roman" w:hAnsi="Times New Roman"/>
          <w:bCs/>
          <w:iCs/>
          <w:sz w:val="24"/>
          <w:szCs w:val="24"/>
        </w:rPr>
        <w:t>5</w:t>
      </w:r>
      <w:r w:rsidRPr="000B34E5">
        <w:rPr>
          <w:rFonts w:ascii="Times New Roman" w:hAnsi="Times New Roman"/>
          <w:bCs/>
          <w:iCs/>
          <w:sz w:val="24"/>
          <w:szCs w:val="24"/>
        </w:rPr>
        <w:t xml:space="preserve"> году - в </w:t>
      </w:r>
      <w:r w:rsidRPr="00121441">
        <w:rPr>
          <w:rFonts w:ascii="Times New Roman" w:hAnsi="Times New Roman"/>
          <w:bCs/>
          <w:iCs/>
          <w:sz w:val="24"/>
          <w:szCs w:val="24"/>
        </w:rPr>
        <w:t xml:space="preserve">сумме </w:t>
      </w:r>
      <w:r>
        <w:rPr>
          <w:rFonts w:ascii="Times New Roman" w:hAnsi="Times New Roman"/>
          <w:bCs/>
          <w:iCs/>
          <w:sz w:val="24"/>
          <w:szCs w:val="24"/>
        </w:rPr>
        <w:t>20050</w:t>
      </w:r>
      <w:r w:rsidRPr="00121441">
        <w:rPr>
          <w:rFonts w:ascii="Times New Roman" w:hAnsi="Times New Roman"/>
          <w:bCs/>
          <w:iCs/>
          <w:sz w:val="24"/>
          <w:szCs w:val="24"/>
        </w:rPr>
        <w:t>,</w:t>
      </w:r>
      <w:r>
        <w:rPr>
          <w:rFonts w:ascii="Times New Roman" w:hAnsi="Times New Roman"/>
          <w:bCs/>
          <w:iCs/>
          <w:sz w:val="24"/>
          <w:szCs w:val="24"/>
        </w:rPr>
        <w:t>0</w:t>
      </w:r>
      <w:r w:rsidRPr="00121441">
        <w:rPr>
          <w:rFonts w:ascii="Times New Roman" w:hAnsi="Times New Roman"/>
          <w:bCs/>
          <w:iCs/>
          <w:sz w:val="24"/>
          <w:szCs w:val="24"/>
        </w:rPr>
        <w:t xml:space="preserve"> тыс. рублей;</w:t>
      </w:r>
    </w:p>
    <w:p w:rsidR="00F02FDF" w:rsidRPr="00121441" w:rsidRDefault="00F02FDF" w:rsidP="00DA5F4F">
      <w:pPr>
        <w:pStyle w:val="ad"/>
        <w:widowControl w:val="0"/>
        <w:numPr>
          <w:ilvl w:val="0"/>
          <w:numId w:val="18"/>
        </w:numPr>
        <w:tabs>
          <w:tab w:val="left" w:pos="540"/>
        </w:tabs>
        <w:spacing w:after="0" w:line="240" w:lineRule="auto"/>
        <w:ind w:left="0" w:firstLine="709"/>
        <w:jc w:val="both"/>
        <w:rPr>
          <w:rFonts w:ascii="Times New Roman" w:hAnsi="Times New Roman"/>
          <w:bCs/>
          <w:iCs/>
          <w:sz w:val="24"/>
          <w:szCs w:val="24"/>
        </w:rPr>
      </w:pPr>
      <w:r w:rsidRPr="00121441">
        <w:rPr>
          <w:rFonts w:ascii="Times New Roman" w:hAnsi="Times New Roman"/>
          <w:bCs/>
          <w:iCs/>
          <w:sz w:val="24"/>
          <w:szCs w:val="24"/>
        </w:rPr>
        <w:t xml:space="preserve">в 2016 году – в сумме </w:t>
      </w:r>
      <w:r>
        <w:rPr>
          <w:rFonts w:ascii="Times New Roman" w:hAnsi="Times New Roman"/>
          <w:bCs/>
          <w:iCs/>
          <w:sz w:val="24"/>
          <w:szCs w:val="24"/>
        </w:rPr>
        <w:t>50</w:t>
      </w:r>
      <w:r w:rsidRPr="00121441">
        <w:rPr>
          <w:rFonts w:ascii="Times New Roman" w:hAnsi="Times New Roman"/>
          <w:bCs/>
          <w:iCs/>
          <w:sz w:val="24"/>
          <w:szCs w:val="24"/>
        </w:rPr>
        <w:t>,</w:t>
      </w:r>
      <w:r>
        <w:rPr>
          <w:rFonts w:ascii="Times New Roman" w:hAnsi="Times New Roman"/>
          <w:bCs/>
          <w:iCs/>
          <w:sz w:val="24"/>
          <w:szCs w:val="24"/>
        </w:rPr>
        <w:t>0</w:t>
      </w:r>
      <w:r w:rsidRPr="00121441">
        <w:rPr>
          <w:rFonts w:ascii="Times New Roman" w:hAnsi="Times New Roman"/>
          <w:bCs/>
          <w:iCs/>
          <w:sz w:val="24"/>
          <w:szCs w:val="24"/>
        </w:rPr>
        <w:t xml:space="preserve"> тыс. рублей;</w:t>
      </w:r>
    </w:p>
    <w:p w:rsidR="00F02FDF" w:rsidRPr="000B34E5" w:rsidRDefault="00F02FDF" w:rsidP="00DA5F4F">
      <w:pPr>
        <w:pStyle w:val="ad"/>
        <w:widowControl w:val="0"/>
        <w:numPr>
          <w:ilvl w:val="0"/>
          <w:numId w:val="18"/>
        </w:numPr>
        <w:tabs>
          <w:tab w:val="left" w:pos="540"/>
        </w:tabs>
        <w:spacing w:after="0" w:line="240" w:lineRule="auto"/>
        <w:ind w:left="0" w:firstLine="709"/>
        <w:jc w:val="both"/>
        <w:rPr>
          <w:rFonts w:ascii="Times New Roman" w:hAnsi="Times New Roman"/>
          <w:bCs/>
          <w:iCs/>
          <w:sz w:val="24"/>
          <w:szCs w:val="24"/>
        </w:rPr>
      </w:pPr>
      <w:r w:rsidRPr="00121441">
        <w:rPr>
          <w:rFonts w:ascii="Times New Roman" w:hAnsi="Times New Roman"/>
          <w:bCs/>
          <w:iCs/>
          <w:sz w:val="24"/>
          <w:szCs w:val="24"/>
        </w:rPr>
        <w:t>в 2017 году – в сумме 50,</w:t>
      </w:r>
      <w:r>
        <w:rPr>
          <w:rFonts w:ascii="Times New Roman" w:hAnsi="Times New Roman"/>
          <w:bCs/>
          <w:iCs/>
          <w:sz w:val="24"/>
          <w:szCs w:val="24"/>
        </w:rPr>
        <w:t>0</w:t>
      </w:r>
      <w:r w:rsidRPr="00121441">
        <w:rPr>
          <w:rFonts w:ascii="Times New Roman" w:hAnsi="Times New Roman"/>
          <w:bCs/>
          <w:iCs/>
          <w:sz w:val="24"/>
          <w:szCs w:val="24"/>
        </w:rPr>
        <w:t xml:space="preserve"> тыс</w:t>
      </w:r>
      <w:r w:rsidRPr="000B34E5">
        <w:rPr>
          <w:rFonts w:ascii="Times New Roman" w:hAnsi="Times New Roman"/>
          <w:bCs/>
          <w:iCs/>
          <w:sz w:val="24"/>
          <w:szCs w:val="24"/>
        </w:rPr>
        <w:t>. рублей.</w:t>
      </w:r>
    </w:p>
    <w:p w:rsidR="00F02FDF" w:rsidRPr="00304FE8"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Структура расходов на капитальные вложения в объекты государственной и муниципальной собственности на 20</w:t>
      </w:r>
      <w:r>
        <w:rPr>
          <w:rFonts w:ascii="Times New Roman" w:hAnsi="Times New Roman"/>
          <w:bCs/>
          <w:iCs/>
          <w:sz w:val="24"/>
          <w:szCs w:val="24"/>
        </w:rPr>
        <w:t xml:space="preserve">15 год представлена на </w:t>
      </w:r>
      <w:r w:rsidRPr="00304FE8">
        <w:rPr>
          <w:rFonts w:ascii="Times New Roman" w:hAnsi="Times New Roman"/>
          <w:bCs/>
          <w:iCs/>
          <w:sz w:val="24"/>
          <w:szCs w:val="24"/>
        </w:rPr>
        <w:t xml:space="preserve">рисунке </w:t>
      </w:r>
      <w:r w:rsidR="00304FE8" w:rsidRPr="00304FE8">
        <w:rPr>
          <w:rFonts w:ascii="Times New Roman" w:hAnsi="Times New Roman"/>
          <w:bCs/>
          <w:iCs/>
          <w:sz w:val="24"/>
          <w:szCs w:val="24"/>
        </w:rPr>
        <w:t>17</w:t>
      </w:r>
      <w:r w:rsidRPr="00304FE8">
        <w:rPr>
          <w:rFonts w:ascii="Times New Roman" w:hAnsi="Times New Roman"/>
          <w:bCs/>
          <w:iCs/>
          <w:sz w:val="24"/>
          <w:szCs w:val="24"/>
        </w:rPr>
        <w:t>.</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p>
    <w:p w:rsidR="00F02FDF" w:rsidRDefault="00F02FDF" w:rsidP="00F02FDF">
      <w:pPr>
        <w:widowControl w:val="0"/>
        <w:tabs>
          <w:tab w:val="left" w:pos="540"/>
        </w:tabs>
        <w:spacing w:after="0" w:line="240" w:lineRule="auto"/>
        <w:jc w:val="both"/>
        <w:rPr>
          <w:rFonts w:ascii="Times New Roman" w:hAnsi="Times New Roman"/>
          <w:bCs/>
          <w:iCs/>
          <w:sz w:val="24"/>
          <w:szCs w:val="24"/>
        </w:rPr>
      </w:pPr>
      <w:r w:rsidRPr="00832590">
        <w:rPr>
          <w:rFonts w:ascii="Times New Roman" w:hAnsi="Times New Roman"/>
          <w:bCs/>
          <w:iCs/>
          <w:noProof/>
          <w:sz w:val="24"/>
          <w:szCs w:val="24"/>
        </w:rPr>
        <w:drawing>
          <wp:inline distT="0" distB="0" distL="0" distR="0" wp14:anchorId="1130760C" wp14:editId="0B2D5526">
            <wp:extent cx="5940425" cy="3619515"/>
            <wp:effectExtent l="0" t="0" r="317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p>
    <w:p w:rsidR="00F02FDF" w:rsidRPr="00832590" w:rsidRDefault="00F02FDF" w:rsidP="00F02FDF">
      <w:pPr>
        <w:widowControl w:val="0"/>
        <w:tabs>
          <w:tab w:val="left" w:pos="540"/>
        </w:tabs>
        <w:spacing w:after="0" w:line="240" w:lineRule="auto"/>
        <w:ind w:firstLine="709"/>
        <w:jc w:val="center"/>
        <w:rPr>
          <w:rFonts w:ascii="Times New Roman" w:hAnsi="Times New Roman"/>
          <w:b/>
          <w:bCs/>
          <w:iCs/>
          <w:sz w:val="24"/>
          <w:szCs w:val="24"/>
        </w:rPr>
      </w:pPr>
      <w:r w:rsidRPr="00304FE8">
        <w:rPr>
          <w:rFonts w:ascii="Times New Roman" w:hAnsi="Times New Roman"/>
          <w:b/>
          <w:bCs/>
          <w:iCs/>
          <w:sz w:val="24"/>
          <w:szCs w:val="24"/>
        </w:rPr>
        <w:t xml:space="preserve">Рис. </w:t>
      </w:r>
      <w:r w:rsidR="00304FE8" w:rsidRPr="00304FE8">
        <w:rPr>
          <w:rFonts w:ascii="Times New Roman" w:hAnsi="Times New Roman"/>
          <w:b/>
          <w:bCs/>
          <w:iCs/>
          <w:sz w:val="24"/>
          <w:szCs w:val="24"/>
        </w:rPr>
        <w:t>17</w:t>
      </w:r>
      <w:r w:rsidRPr="00304FE8">
        <w:rPr>
          <w:rFonts w:ascii="Times New Roman" w:hAnsi="Times New Roman"/>
          <w:b/>
          <w:bCs/>
          <w:iCs/>
          <w:sz w:val="24"/>
          <w:szCs w:val="24"/>
        </w:rPr>
        <w:t xml:space="preserve"> </w:t>
      </w:r>
      <w:r w:rsidRPr="00832590">
        <w:rPr>
          <w:rFonts w:ascii="Times New Roman" w:hAnsi="Times New Roman"/>
          <w:b/>
          <w:bCs/>
          <w:iCs/>
          <w:sz w:val="24"/>
          <w:szCs w:val="24"/>
        </w:rPr>
        <w:t>– Структура расходов областного бюджета на капитальные вложения</w:t>
      </w:r>
    </w:p>
    <w:p w:rsidR="00F02FDF" w:rsidRPr="00832590" w:rsidRDefault="00F02FDF" w:rsidP="00F02FDF">
      <w:pPr>
        <w:widowControl w:val="0"/>
        <w:tabs>
          <w:tab w:val="left" w:pos="540"/>
        </w:tabs>
        <w:spacing w:after="0" w:line="240" w:lineRule="auto"/>
        <w:ind w:firstLine="709"/>
        <w:jc w:val="center"/>
        <w:rPr>
          <w:rFonts w:ascii="Times New Roman" w:hAnsi="Times New Roman"/>
          <w:b/>
          <w:bCs/>
          <w:iCs/>
          <w:sz w:val="24"/>
          <w:szCs w:val="24"/>
        </w:rPr>
      </w:pPr>
      <w:r w:rsidRPr="00832590">
        <w:rPr>
          <w:rFonts w:ascii="Times New Roman" w:hAnsi="Times New Roman"/>
          <w:b/>
          <w:bCs/>
          <w:iCs/>
          <w:sz w:val="24"/>
          <w:szCs w:val="24"/>
        </w:rPr>
        <w:t>в объекты государственной и муниципальной</w:t>
      </w:r>
      <w:r>
        <w:rPr>
          <w:rFonts w:ascii="Times New Roman" w:hAnsi="Times New Roman"/>
          <w:b/>
          <w:bCs/>
          <w:iCs/>
          <w:sz w:val="24"/>
          <w:szCs w:val="24"/>
        </w:rPr>
        <w:t xml:space="preserve"> </w:t>
      </w:r>
      <w:r w:rsidRPr="00832590">
        <w:rPr>
          <w:rFonts w:ascii="Times New Roman" w:hAnsi="Times New Roman"/>
          <w:b/>
          <w:bCs/>
          <w:iCs/>
          <w:sz w:val="24"/>
          <w:szCs w:val="24"/>
        </w:rPr>
        <w:t>собственности на 201</w:t>
      </w:r>
      <w:r>
        <w:rPr>
          <w:rFonts w:ascii="Times New Roman" w:hAnsi="Times New Roman"/>
          <w:b/>
          <w:bCs/>
          <w:iCs/>
          <w:sz w:val="24"/>
          <w:szCs w:val="24"/>
        </w:rPr>
        <w:t>5</w:t>
      </w:r>
      <w:r w:rsidRPr="00832590">
        <w:rPr>
          <w:rFonts w:ascii="Times New Roman" w:hAnsi="Times New Roman"/>
          <w:b/>
          <w:bCs/>
          <w:iCs/>
          <w:sz w:val="24"/>
          <w:szCs w:val="24"/>
        </w:rPr>
        <w:t xml:space="preserve"> год</w:t>
      </w:r>
    </w:p>
    <w:p w:rsidR="00F02FDF" w:rsidRDefault="00F02FDF" w:rsidP="00F02FDF">
      <w:pPr>
        <w:widowControl w:val="0"/>
        <w:tabs>
          <w:tab w:val="left" w:pos="540"/>
        </w:tabs>
        <w:spacing w:after="0" w:line="240" w:lineRule="auto"/>
        <w:ind w:firstLine="709"/>
        <w:jc w:val="center"/>
        <w:rPr>
          <w:rFonts w:ascii="Times New Roman" w:hAnsi="Times New Roman"/>
          <w:bCs/>
          <w:iCs/>
          <w:sz w:val="24"/>
          <w:szCs w:val="24"/>
        </w:rPr>
      </w:pP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Анализом предусмотренных законопроектом расходов областного бюджета установлено, что в 201</w:t>
      </w:r>
      <w:r>
        <w:rPr>
          <w:rFonts w:ascii="Times New Roman" w:hAnsi="Times New Roman"/>
          <w:bCs/>
          <w:iCs/>
          <w:sz w:val="24"/>
          <w:szCs w:val="24"/>
        </w:rPr>
        <w:t>5</w:t>
      </w:r>
      <w:r w:rsidRPr="00832590">
        <w:rPr>
          <w:rFonts w:ascii="Times New Roman" w:hAnsi="Times New Roman"/>
          <w:bCs/>
          <w:iCs/>
          <w:sz w:val="24"/>
          <w:szCs w:val="24"/>
        </w:rPr>
        <w:t xml:space="preserve"> году на финансирование капитальных вложений в объекты государственной и муниципальной собственности планируется направить </w:t>
      </w:r>
      <w:r>
        <w:rPr>
          <w:rFonts w:ascii="Times New Roman" w:hAnsi="Times New Roman"/>
          <w:bCs/>
          <w:iCs/>
          <w:sz w:val="24"/>
          <w:szCs w:val="24"/>
        </w:rPr>
        <w:t>639686</w:t>
      </w:r>
      <w:r w:rsidRPr="00832590">
        <w:rPr>
          <w:rFonts w:ascii="Times New Roman" w:hAnsi="Times New Roman"/>
          <w:bCs/>
          <w:iCs/>
          <w:sz w:val="24"/>
          <w:szCs w:val="24"/>
        </w:rPr>
        <w:t>,</w:t>
      </w:r>
      <w:r>
        <w:rPr>
          <w:rFonts w:ascii="Times New Roman" w:hAnsi="Times New Roman"/>
          <w:bCs/>
          <w:iCs/>
          <w:sz w:val="24"/>
          <w:szCs w:val="24"/>
        </w:rPr>
        <w:t>9</w:t>
      </w:r>
      <w:r w:rsidRPr="00832590">
        <w:rPr>
          <w:rFonts w:ascii="Times New Roman" w:hAnsi="Times New Roman"/>
          <w:bCs/>
          <w:iCs/>
          <w:sz w:val="24"/>
          <w:szCs w:val="24"/>
        </w:rPr>
        <w:t xml:space="preserve"> тыс. рублей, что составляет </w:t>
      </w:r>
      <w:r>
        <w:rPr>
          <w:rFonts w:ascii="Times New Roman" w:hAnsi="Times New Roman"/>
          <w:bCs/>
          <w:iCs/>
          <w:sz w:val="24"/>
          <w:szCs w:val="24"/>
        </w:rPr>
        <w:t>1</w:t>
      </w:r>
      <w:r w:rsidRPr="00832590">
        <w:rPr>
          <w:rFonts w:ascii="Times New Roman" w:hAnsi="Times New Roman"/>
          <w:bCs/>
          <w:iCs/>
          <w:sz w:val="24"/>
          <w:szCs w:val="24"/>
        </w:rPr>
        <w:t>,</w:t>
      </w:r>
      <w:r>
        <w:rPr>
          <w:rFonts w:ascii="Times New Roman" w:hAnsi="Times New Roman"/>
          <w:bCs/>
          <w:iCs/>
          <w:sz w:val="24"/>
          <w:szCs w:val="24"/>
        </w:rPr>
        <w:t>8</w:t>
      </w:r>
      <w:r w:rsidRPr="00832590">
        <w:rPr>
          <w:rFonts w:ascii="Times New Roman" w:hAnsi="Times New Roman"/>
          <w:bCs/>
          <w:iCs/>
          <w:sz w:val="24"/>
          <w:szCs w:val="24"/>
        </w:rPr>
        <w:t xml:space="preserve"> процента расходов областного бюджета на 201</w:t>
      </w:r>
      <w:r>
        <w:rPr>
          <w:rFonts w:ascii="Times New Roman" w:hAnsi="Times New Roman"/>
          <w:bCs/>
          <w:iCs/>
          <w:sz w:val="24"/>
          <w:szCs w:val="24"/>
        </w:rPr>
        <w:t>5</w:t>
      </w:r>
      <w:r w:rsidRPr="00832590">
        <w:rPr>
          <w:rFonts w:ascii="Times New Roman" w:hAnsi="Times New Roman"/>
          <w:bCs/>
          <w:iCs/>
          <w:sz w:val="24"/>
          <w:szCs w:val="24"/>
        </w:rPr>
        <w:t xml:space="preserve"> год. </w:t>
      </w:r>
      <w:r>
        <w:rPr>
          <w:rFonts w:ascii="Times New Roman" w:hAnsi="Times New Roman"/>
          <w:bCs/>
          <w:iCs/>
          <w:sz w:val="24"/>
          <w:szCs w:val="24"/>
        </w:rPr>
        <w:br/>
      </w:r>
      <w:r w:rsidRPr="00832590">
        <w:rPr>
          <w:rFonts w:ascii="Times New Roman" w:hAnsi="Times New Roman"/>
          <w:bCs/>
          <w:iCs/>
          <w:sz w:val="24"/>
          <w:szCs w:val="24"/>
        </w:rPr>
        <w:t xml:space="preserve">На финансирование капитальных вложений в объекты государственной собственности области предусмотрено направить </w:t>
      </w:r>
      <w:r>
        <w:rPr>
          <w:rFonts w:ascii="Times New Roman" w:hAnsi="Times New Roman"/>
          <w:bCs/>
          <w:iCs/>
          <w:sz w:val="24"/>
          <w:szCs w:val="24"/>
        </w:rPr>
        <w:t>619636,9</w:t>
      </w:r>
      <w:r w:rsidRPr="00832590">
        <w:rPr>
          <w:rFonts w:ascii="Times New Roman" w:hAnsi="Times New Roman"/>
          <w:bCs/>
          <w:iCs/>
          <w:sz w:val="24"/>
          <w:szCs w:val="24"/>
        </w:rPr>
        <w:t xml:space="preserve"> тыс. рублей, в том числе на строительство и реконструкцию автомобильных дорог общего пользования, финансируемых за счет средств дорожного фонда – </w:t>
      </w:r>
      <w:r>
        <w:rPr>
          <w:rFonts w:ascii="Times New Roman" w:hAnsi="Times New Roman"/>
          <w:bCs/>
          <w:iCs/>
          <w:sz w:val="24"/>
          <w:szCs w:val="24"/>
        </w:rPr>
        <w:t>446322</w:t>
      </w:r>
      <w:r w:rsidRPr="00832590">
        <w:rPr>
          <w:rFonts w:ascii="Times New Roman" w:hAnsi="Times New Roman"/>
          <w:bCs/>
          <w:iCs/>
          <w:sz w:val="24"/>
          <w:szCs w:val="24"/>
        </w:rPr>
        <w:t>,</w:t>
      </w:r>
      <w:r>
        <w:rPr>
          <w:rFonts w:ascii="Times New Roman" w:hAnsi="Times New Roman"/>
          <w:bCs/>
          <w:iCs/>
          <w:sz w:val="24"/>
          <w:szCs w:val="24"/>
        </w:rPr>
        <w:t>7 тыс. рублей, или 69</w:t>
      </w:r>
      <w:r w:rsidRPr="00832590">
        <w:rPr>
          <w:rFonts w:ascii="Times New Roman" w:hAnsi="Times New Roman"/>
          <w:bCs/>
          <w:iCs/>
          <w:sz w:val="24"/>
          <w:szCs w:val="24"/>
        </w:rPr>
        <w:t>,</w:t>
      </w:r>
      <w:r>
        <w:rPr>
          <w:rFonts w:ascii="Times New Roman" w:hAnsi="Times New Roman"/>
          <w:bCs/>
          <w:iCs/>
          <w:sz w:val="24"/>
          <w:szCs w:val="24"/>
        </w:rPr>
        <w:t>8</w:t>
      </w:r>
      <w:r w:rsidRPr="00832590">
        <w:rPr>
          <w:rFonts w:ascii="Times New Roman" w:hAnsi="Times New Roman"/>
          <w:bCs/>
          <w:iCs/>
          <w:sz w:val="24"/>
          <w:szCs w:val="24"/>
        </w:rPr>
        <w:t xml:space="preserve"> процента общего объема расходов на финансирование капитальных вложений, на строительство и реконструкцию объектов областной собственности – </w:t>
      </w:r>
      <w:r>
        <w:rPr>
          <w:rFonts w:ascii="Times New Roman" w:hAnsi="Times New Roman"/>
          <w:bCs/>
          <w:iCs/>
          <w:sz w:val="24"/>
          <w:szCs w:val="24"/>
        </w:rPr>
        <w:t>173314</w:t>
      </w:r>
      <w:r w:rsidRPr="00832590">
        <w:rPr>
          <w:rFonts w:ascii="Times New Roman" w:hAnsi="Times New Roman"/>
          <w:bCs/>
          <w:iCs/>
          <w:sz w:val="24"/>
          <w:szCs w:val="24"/>
        </w:rPr>
        <w:t>,</w:t>
      </w:r>
      <w:r>
        <w:rPr>
          <w:rFonts w:ascii="Times New Roman" w:hAnsi="Times New Roman"/>
          <w:bCs/>
          <w:iCs/>
          <w:sz w:val="24"/>
          <w:szCs w:val="24"/>
        </w:rPr>
        <w:t>2</w:t>
      </w:r>
      <w:r w:rsidRPr="00832590">
        <w:rPr>
          <w:rFonts w:ascii="Times New Roman" w:hAnsi="Times New Roman"/>
          <w:bCs/>
          <w:iCs/>
          <w:sz w:val="24"/>
          <w:szCs w:val="24"/>
        </w:rPr>
        <w:t xml:space="preserve"> т</w:t>
      </w:r>
      <w:r>
        <w:rPr>
          <w:rFonts w:ascii="Times New Roman" w:hAnsi="Times New Roman"/>
          <w:bCs/>
          <w:iCs/>
          <w:sz w:val="24"/>
          <w:szCs w:val="24"/>
        </w:rPr>
        <w:t xml:space="preserve">ыс. рублей, или 27,1 процента </w:t>
      </w:r>
      <w:r w:rsidRPr="00832590">
        <w:rPr>
          <w:rFonts w:ascii="Times New Roman" w:hAnsi="Times New Roman"/>
          <w:bCs/>
          <w:iCs/>
          <w:sz w:val="24"/>
          <w:szCs w:val="24"/>
        </w:rPr>
        <w:t>общего объема расходов на финансирование капитальных вложений. На софинансирование объектов капитального строительства муниципальной собственности предусмотрено направить в 201</w:t>
      </w:r>
      <w:r>
        <w:rPr>
          <w:rFonts w:ascii="Times New Roman" w:hAnsi="Times New Roman"/>
          <w:bCs/>
          <w:iCs/>
          <w:sz w:val="24"/>
          <w:szCs w:val="24"/>
        </w:rPr>
        <w:t>5</w:t>
      </w:r>
      <w:r w:rsidRPr="00832590">
        <w:rPr>
          <w:rFonts w:ascii="Times New Roman" w:hAnsi="Times New Roman"/>
          <w:bCs/>
          <w:iCs/>
          <w:sz w:val="24"/>
          <w:szCs w:val="24"/>
        </w:rPr>
        <w:t xml:space="preserve"> году средств</w:t>
      </w:r>
      <w:r>
        <w:rPr>
          <w:rFonts w:ascii="Times New Roman" w:hAnsi="Times New Roman"/>
          <w:bCs/>
          <w:iCs/>
          <w:sz w:val="24"/>
          <w:szCs w:val="24"/>
        </w:rPr>
        <w:t xml:space="preserve"> областного бюджета в объеме 2</w:t>
      </w:r>
      <w:r w:rsidRPr="00832590">
        <w:rPr>
          <w:rFonts w:ascii="Times New Roman" w:hAnsi="Times New Roman"/>
          <w:bCs/>
          <w:iCs/>
          <w:sz w:val="24"/>
          <w:szCs w:val="24"/>
        </w:rPr>
        <w:t>00</w:t>
      </w:r>
      <w:r>
        <w:rPr>
          <w:rFonts w:ascii="Times New Roman" w:hAnsi="Times New Roman"/>
          <w:bCs/>
          <w:iCs/>
          <w:sz w:val="24"/>
          <w:szCs w:val="24"/>
        </w:rPr>
        <w:t>5</w:t>
      </w:r>
      <w:r w:rsidRPr="00832590">
        <w:rPr>
          <w:rFonts w:ascii="Times New Roman" w:hAnsi="Times New Roman"/>
          <w:bCs/>
          <w:iCs/>
          <w:sz w:val="24"/>
          <w:szCs w:val="24"/>
        </w:rPr>
        <w:t>0,0 тыс. рублей, или 3,1 процента общего объема расходов на финансирование капитальных вложений.</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На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на финансирование капитальных вложений в объекты государственной и муниципальной собственности планируется направить соответственно </w:t>
      </w:r>
      <w:r>
        <w:rPr>
          <w:rFonts w:ascii="Times New Roman" w:hAnsi="Times New Roman"/>
          <w:bCs/>
          <w:iCs/>
          <w:sz w:val="24"/>
          <w:szCs w:val="24"/>
        </w:rPr>
        <w:t>589423</w:t>
      </w:r>
      <w:r w:rsidRPr="00832590">
        <w:rPr>
          <w:rFonts w:ascii="Times New Roman" w:hAnsi="Times New Roman"/>
          <w:bCs/>
          <w:iCs/>
          <w:sz w:val="24"/>
          <w:szCs w:val="24"/>
        </w:rPr>
        <w:t>,</w:t>
      </w:r>
      <w:r>
        <w:rPr>
          <w:rFonts w:ascii="Times New Roman" w:hAnsi="Times New Roman"/>
          <w:bCs/>
          <w:iCs/>
          <w:sz w:val="24"/>
          <w:szCs w:val="24"/>
        </w:rPr>
        <w:t>6</w:t>
      </w:r>
      <w:r w:rsidRPr="00832590">
        <w:rPr>
          <w:rFonts w:ascii="Times New Roman" w:hAnsi="Times New Roman"/>
          <w:bCs/>
          <w:iCs/>
          <w:sz w:val="24"/>
          <w:szCs w:val="24"/>
        </w:rPr>
        <w:t xml:space="preserve"> тыс. рублей и </w:t>
      </w:r>
      <w:r>
        <w:rPr>
          <w:rFonts w:ascii="Times New Roman" w:hAnsi="Times New Roman"/>
          <w:bCs/>
          <w:iCs/>
          <w:sz w:val="24"/>
          <w:szCs w:val="24"/>
        </w:rPr>
        <w:t>503120</w:t>
      </w:r>
      <w:r w:rsidRPr="00832590">
        <w:rPr>
          <w:rFonts w:ascii="Times New Roman" w:hAnsi="Times New Roman"/>
          <w:bCs/>
          <w:iCs/>
          <w:sz w:val="24"/>
          <w:szCs w:val="24"/>
        </w:rPr>
        <w:t>,</w:t>
      </w:r>
      <w:r>
        <w:rPr>
          <w:rFonts w:ascii="Times New Roman" w:hAnsi="Times New Roman"/>
          <w:bCs/>
          <w:iCs/>
          <w:sz w:val="24"/>
          <w:szCs w:val="24"/>
        </w:rPr>
        <w:t>3</w:t>
      </w:r>
      <w:r w:rsidRPr="00832590">
        <w:rPr>
          <w:rFonts w:ascii="Times New Roman" w:hAnsi="Times New Roman"/>
          <w:bCs/>
          <w:iCs/>
          <w:sz w:val="24"/>
          <w:szCs w:val="24"/>
        </w:rPr>
        <w:t xml:space="preserve"> тыс. рублей,</w:t>
      </w:r>
      <w:r>
        <w:rPr>
          <w:rFonts w:ascii="Times New Roman" w:hAnsi="Times New Roman"/>
          <w:bCs/>
          <w:iCs/>
          <w:sz w:val="24"/>
          <w:szCs w:val="24"/>
        </w:rPr>
        <w:t xml:space="preserve"> что составляет 1,7 процента и 1</w:t>
      </w:r>
      <w:r w:rsidRPr="00832590">
        <w:rPr>
          <w:rFonts w:ascii="Times New Roman" w:hAnsi="Times New Roman"/>
          <w:bCs/>
          <w:iCs/>
          <w:sz w:val="24"/>
          <w:szCs w:val="24"/>
        </w:rPr>
        <w:t>,8 процента расходов областного б</w:t>
      </w:r>
      <w:r>
        <w:rPr>
          <w:rFonts w:ascii="Times New Roman" w:hAnsi="Times New Roman"/>
          <w:bCs/>
          <w:iCs/>
          <w:sz w:val="24"/>
          <w:szCs w:val="24"/>
        </w:rPr>
        <w:t>юджета на соответствующие годы.</w:t>
      </w:r>
    </w:p>
    <w:p w:rsidR="00F02FDF" w:rsidRPr="00D02C0B"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Контрольно-счетная палата области отмечает, что в плановом периоде 201</w:t>
      </w:r>
      <w:r>
        <w:rPr>
          <w:rFonts w:ascii="Times New Roman" w:hAnsi="Times New Roman"/>
          <w:bCs/>
          <w:iCs/>
          <w:sz w:val="24"/>
          <w:szCs w:val="24"/>
        </w:rPr>
        <w:t>6</w:t>
      </w:r>
      <w:r w:rsidRPr="00832590">
        <w:rPr>
          <w:rFonts w:ascii="Times New Roman" w:hAnsi="Times New Roman"/>
          <w:bCs/>
          <w:iCs/>
          <w:sz w:val="24"/>
          <w:szCs w:val="24"/>
        </w:rPr>
        <w:t xml:space="preserve"> и </w:t>
      </w:r>
      <w:r>
        <w:rPr>
          <w:rFonts w:ascii="Times New Roman" w:hAnsi="Times New Roman"/>
          <w:bCs/>
          <w:iCs/>
          <w:sz w:val="24"/>
          <w:szCs w:val="24"/>
        </w:rPr>
        <w:br/>
      </w:r>
      <w:r w:rsidRPr="00832590">
        <w:rPr>
          <w:rFonts w:ascii="Times New Roman" w:hAnsi="Times New Roman"/>
          <w:bCs/>
          <w:iCs/>
          <w:sz w:val="24"/>
          <w:szCs w:val="24"/>
        </w:rPr>
        <w:t>201</w:t>
      </w:r>
      <w:r>
        <w:rPr>
          <w:rFonts w:ascii="Times New Roman" w:hAnsi="Times New Roman"/>
          <w:bCs/>
          <w:iCs/>
          <w:sz w:val="24"/>
          <w:szCs w:val="24"/>
        </w:rPr>
        <w:t>7</w:t>
      </w:r>
      <w:r w:rsidRPr="00832590">
        <w:rPr>
          <w:rFonts w:ascii="Times New Roman" w:hAnsi="Times New Roman"/>
          <w:bCs/>
          <w:iCs/>
          <w:sz w:val="24"/>
          <w:szCs w:val="24"/>
        </w:rPr>
        <w:t xml:space="preserve"> годов структура </w:t>
      </w:r>
      <w:r w:rsidRPr="00D02C0B">
        <w:rPr>
          <w:rFonts w:ascii="Times New Roman" w:hAnsi="Times New Roman"/>
          <w:bCs/>
          <w:iCs/>
          <w:sz w:val="24"/>
          <w:szCs w:val="24"/>
        </w:rPr>
        <w:t>расходов областного бюджета на бюджетные инвестиции в объекты капитального строите</w:t>
      </w:r>
      <w:r>
        <w:rPr>
          <w:rFonts w:ascii="Times New Roman" w:hAnsi="Times New Roman"/>
          <w:bCs/>
          <w:iCs/>
          <w:sz w:val="24"/>
          <w:szCs w:val="24"/>
        </w:rPr>
        <w:t>льства</w:t>
      </w:r>
      <w:r w:rsidRPr="00D02C0B">
        <w:rPr>
          <w:rFonts w:ascii="Times New Roman" w:hAnsi="Times New Roman"/>
          <w:bCs/>
          <w:iCs/>
          <w:sz w:val="24"/>
          <w:szCs w:val="24"/>
        </w:rPr>
        <w:t xml:space="preserve"> </w:t>
      </w:r>
      <w:r>
        <w:rPr>
          <w:rFonts w:ascii="Times New Roman" w:hAnsi="Times New Roman"/>
          <w:bCs/>
          <w:iCs/>
          <w:sz w:val="24"/>
          <w:szCs w:val="24"/>
        </w:rPr>
        <w:t>изменяется – в связи с уменьшением</w:t>
      </w:r>
      <w:r w:rsidRPr="00D02C0B">
        <w:rPr>
          <w:rFonts w:ascii="Times New Roman" w:hAnsi="Times New Roman"/>
          <w:bCs/>
          <w:iCs/>
          <w:sz w:val="24"/>
          <w:szCs w:val="24"/>
        </w:rPr>
        <w:t xml:space="preserve"> объемов </w:t>
      </w:r>
      <w:r>
        <w:rPr>
          <w:rFonts w:ascii="Times New Roman" w:hAnsi="Times New Roman"/>
          <w:bCs/>
          <w:iCs/>
          <w:sz w:val="24"/>
          <w:szCs w:val="24"/>
        </w:rPr>
        <w:t xml:space="preserve">значительно снижается </w:t>
      </w:r>
      <w:r w:rsidRPr="00D02C0B">
        <w:rPr>
          <w:rFonts w:ascii="Times New Roman" w:hAnsi="Times New Roman"/>
          <w:bCs/>
          <w:iCs/>
          <w:sz w:val="24"/>
          <w:szCs w:val="24"/>
        </w:rPr>
        <w:t>дол</w:t>
      </w:r>
      <w:r>
        <w:rPr>
          <w:rFonts w:ascii="Times New Roman" w:hAnsi="Times New Roman"/>
          <w:bCs/>
          <w:iCs/>
          <w:sz w:val="24"/>
          <w:szCs w:val="24"/>
        </w:rPr>
        <w:t>я</w:t>
      </w:r>
      <w:r w:rsidRPr="00D02C0B">
        <w:rPr>
          <w:rFonts w:ascii="Times New Roman" w:hAnsi="Times New Roman"/>
          <w:bCs/>
          <w:iCs/>
          <w:sz w:val="24"/>
          <w:szCs w:val="24"/>
        </w:rPr>
        <w:t xml:space="preserve"> средств, предусмотренных на капитальные вложения в объекты государственной собственности (за исключением автомобильных дорог</w:t>
      </w:r>
      <w:r>
        <w:rPr>
          <w:rFonts w:ascii="Times New Roman" w:hAnsi="Times New Roman"/>
          <w:bCs/>
          <w:iCs/>
          <w:sz w:val="24"/>
          <w:szCs w:val="24"/>
        </w:rPr>
        <w:t xml:space="preserve"> </w:t>
      </w:r>
      <w:r w:rsidRPr="00D02C0B">
        <w:rPr>
          <w:rFonts w:ascii="Times New Roman" w:hAnsi="Times New Roman"/>
          <w:bCs/>
          <w:iCs/>
          <w:sz w:val="24"/>
          <w:szCs w:val="24"/>
        </w:rPr>
        <w:t>общего пользования), и объекты муниципальной собственности.</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Так, в 201</w:t>
      </w:r>
      <w:r>
        <w:rPr>
          <w:rFonts w:ascii="Times New Roman" w:hAnsi="Times New Roman"/>
          <w:bCs/>
          <w:iCs/>
          <w:sz w:val="24"/>
          <w:szCs w:val="24"/>
        </w:rPr>
        <w:t>6</w:t>
      </w:r>
      <w:r w:rsidRPr="00832590">
        <w:rPr>
          <w:rFonts w:ascii="Times New Roman" w:hAnsi="Times New Roman"/>
          <w:bCs/>
          <w:iCs/>
          <w:sz w:val="24"/>
          <w:szCs w:val="24"/>
        </w:rPr>
        <w:t xml:space="preserve"> году на финансирование капитальных вложений в объекты государственной</w:t>
      </w:r>
      <w:r>
        <w:rPr>
          <w:rFonts w:ascii="Times New Roman" w:hAnsi="Times New Roman"/>
          <w:bCs/>
          <w:iCs/>
          <w:sz w:val="24"/>
          <w:szCs w:val="24"/>
        </w:rPr>
        <w:t xml:space="preserve"> и муниципальной</w:t>
      </w:r>
      <w:r w:rsidRPr="00832590">
        <w:rPr>
          <w:rFonts w:ascii="Times New Roman" w:hAnsi="Times New Roman"/>
          <w:bCs/>
          <w:iCs/>
          <w:sz w:val="24"/>
          <w:szCs w:val="24"/>
        </w:rPr>
        <w:t xml:space="preserve"> собственности предусмотрено направить средств в объеме </w:t>
      </w:r>
      <w:r>
        <w:rPr>
          <w:rFonts w:ascii="Times New Roman" w:hAnsi="Times New Roman"/>
          <w:bCs/>
          <w:iCs/>
          <w:sz w:val="24"/>
          <w:szCs w:val="24"/>
        </w:rPr>
        <w:t>589373</w:t>
      </w:r>
      <w:r w:rsidRPr="00832590">
        <w:rPr>
          <w:rFonts w:ascii="Times New Roman" w:hAnsi="Times New Roman"/>
          <w:bCs/>
          <w:iCs/>
          <w:sz w:val="24"/>
          <w:szCs w:val="24"/>
        </w:rPr>
        <w:t>,</w:t>
      </w:r>
      <w:r>
        <w:rPr>
          <w:rFonts w:ascii="Times New Roman" w:hAnsi="Times New Roman"/>
          <w:bCs/>
          <w:iCs/>
          <w:sz w:val="24"/>
          <w:szCs w:val="24"/>
        </w:rPr>
        <w:t>6</w:t>
      </w:r>
      <w:r w:rsidRPr="00832590">
        <w:rPr>
          <w:rFonts w:ascii="Times New Roman" w:hAnsi="Times New Roman"/>
          <w:bCs/>
          <w:iCs/>
          <w:sz w:val="24"/>
          <w:szCs w:val="24"/>
        </w:rPr>
        <w:t xml:space="preserve"> тыс. рублей, в том числе на строительство и реконструкцию автомобильных </w:t>
      </w:r>
      <w:r w:rsidRPr="00832590">
        <w:rPr>
          <w:rFonts w:ascii="Times New Roman" w:hAnsi="Times New Roman"/>
          <w:bCs/>
          <w:iCs/>
          <w:sz w:val="24"/>
          <w:szCs w:val="24"/>
        </w:rPr>
        <w:lastRenderedPageBreak/>
        <w:t xml:space="preserve">дорог общего пользования, финансируемых за счет средств дорожного фонда – </w:t>
      </w:r>
      <w:r>
        <w:rPr>
          <w:rFonts w:ascii="Times New Roman" w:hAnsi="Times New Roman"/>
          <w:bCs/>
          <w:iCs/>
          <w:sz w:val="24"/>
          <w:szCs w:val="24"/>
        </w:rPr>
        <w:t>544542,6</w:t>
      </w:r>
      <w:r w:rsidRPr="00832590">
        <w:rPr>
          <w:rFonts w:ascii="Times New Roman" w:hAnsi="Times New Roman"/>
          <w:bCs/>
          <w:iCs/>
          <w:sz w:val="24"/>
          <w:szCs w:val="24"/>
        </w:rPr>
        <w:t xml:space="preserve"> тыс. рубл</w:t>
      </w:r>
      <w:r>
        <w:rPr>
          <w:rFonts w:ascii="Times New Roman" w:hAnsi="Times New Roman"/>
          <w:bCs/>
          <w:iCs/>
          <w:sz w:val="24"/>
          <w:szCs w:val="24"/>
        </w:rPr>
        <w:t>ей, или 92</w:t>
      </w:r>
      <w:r w:rsidRPr="00832590">
        <w:rPr>
          <w:rFonts w:ascii="Times New Roman" w:hAnsi="Times New Roman"/>
          <w:bCs/>
          <w:iCs/>
          <w:sz w:val="24"/>
          <w:szCs w:val="24"/>
        </w:rPr>
        <w:t>,</w:t>
      </w:r>
      <w:r>
        <w:rPr>
          <w:rFonts w:ascii="Times New Roman" w:hAnsi="Times New Roman"/>
          <w:bCs/>
          <w:iCs/>
          <w:sz w:val="24"/>
          <w:szCs w:val="24"/>
        </w:rPr>
        <w:t>4</w:t>
      </w:r>
      <w:r w:rsidRPr="00832590">
        <w:rPr>
          <w:rFonts w:ascii="Times New Roman" w:hAnsi="Times New Roman"/>
          <w:bCs/>
          <w:iCs/>
          <w:sz w:val="24"/>
          <w:szCs w:val="24"/>
        </w:rPr>
        <w:t xml:space="preserve"> процента общего объема капитальных вложений в объекты государственной собственности</w:t>
      </w:r>
      <w:r>
        <w:rPr>
          <w:rFonts w:ascii="Times New Roman" w:hAnsi="Times New Roman"/>
          <w:bCs/>
          <w:iCs/>
          <w:sz w:val="24"/>
          <w:szCs w:val="24"/>
        </w:rPr>
        <w:t>,</w:t>
      </w:r>
      <w:r w:rsidRPr="00832590">
        <w:rPr>
          <w:rFonts w:ascii="Times New Roman" w:hAnsi="Times New Roman"/>
          <w:bCs/>
          <w:iCs/>
          <w:sz w:val="24"/>
          <w:szCs w:val="24"/>
        </w:rPr>
        <w:t xml:space="preserve"> на строительство и реконструкцию объектов областной собственности – </w:t>
      </w:r>
      <w:r>
        <w:rPr>
          <w:rFonts w:ascii="Times New Roman" w:hAnsi="Times New Roman"/>
          <w:bCs/>
          <w:iCs/>
          <w:sz w:val="24"/>
          <w:szCs w:val="24"/>
        </w:rPr>
        <w:t>44831,0</w:t>
      </w:r>
      <w:r w:rsidRPr="00832590">
        <w:rPr>
          <w:rFonts w:ascii="Times New Roman" w:hAnsi="Times New Roman"/>
          <w:bCs/>
          <w:iCs/>
          <w:sz w:val="24"/>
          <w:szCs w:val="24"/>
        </w:rPr>
        <w:t xml:space="preserve"> т</w:t>
      </w:r>
      <w:r>
        <w:rPr>
          <w:rFonts w:ascii="Times New Roman" w:hAnsi="Times New Roman"/>
          <w:bCs/>
          <w:iCs/>
          <w:sz w:val="24"/>
          <w:szCs w:val="24"/>
        </w:rPr>
        <w:t xml:space="preserve">ыс. рублей, или 7,6 процента </w:t>
      </w:r>
      <w:r w:rsidRPr="00832590">
        <w:rPr>
          <w:rFonts w:ascii="Times New Roman" w:hAnsi="Times New Roman"/>
          <w:bCs/>
          <w:iCs/>
          <w:sz w:val="24"/>
          <w:szCs w:val="24"/>
        </w:rPr>
        <w:t>общего объема расходов на финансирование капитальных вложений. На софинансирование объектов капитального строительства муниципальной собственности предусмотрено направить в 201</w:t>
      </w:r>
      <w:r>
        <w:rPr>
          <w:rFonts w:ascii="Times New Roman" w:hAnsi="Times New Roman"/>
          <w:bCs/>
          <w:iCs/>
          <w:sz w:val="24"/>
          <w:szCs w:val="24"/>
        </w:rPr>
        <w:t>6</w:t>
      </w:r>
      <w:r w:rsidRPr="00832590">
        <w:rPr>
          <w:rFonts w:ascii="Times New Roman" w:hAnsi="Times New Roman"/>
          <w:bCs/>
          <w:iCs/>
          <w:sz w:val="24"/>
          <w:szCs w:val="24"/>
        </w:rPr>
        <w:t xml:space="preserve"> году средств</w:t>
      </w:r>
      <w:r>
        <w:rPr>
          <w:rFonts w:ascii="Times New Roman" w:hAnsi="Times New Roman"/>
          <w:bCs/>
          <w:iCs/>
          <w:sz w:val="24"/>
          <w:szCs w:val="24"/>
        </w:rPr>
        <w:t xml:space="preserve"> областного бюджета в объеме 5</w:t>
      </w:r>
      <w:r w:rsidRPr="00832590">
        <w:rPr>
          <w:rFonts w:ascii="Times New Roman" w:hAnsi="Times New Roman"/>
          <w:bCs/>
          <w:iCs/>
          <w:sz w:val="24"/>
          <w:szCs w:val="24"/>
        </w:rPr>
        <w:t xml:space="preserve">0,0 тыс. рублей, или </w:t>
      </w:r>
      <w:r>
        <w:rPr>
          <w:rFonts w:ascii="Times New Roman" w:hAnsi="Times New Roman"/>
          <w:bCs/>
          <w:iCs/>
          <w:sz w:val="24"/>
          <w:szCs w:val="24"/>
        </w:rPr>
        <w:t>0</w:t>
      </w:r>
      <w:r w:rsidRPr="00832590">
        <w:rPr>
          <w:rFonts w:ascii="Times New Roman" w:hAnsi="Times New Roman"/>
          <w:bCs/>
          <w:iCs/>
          <w:sz w:val="24"/>
          <w:szCs w:val="24"/>
        </w:rPr>
        <w:t>,</w:t>
      </w:r>
      <w:r>
        <w:rPr>
          <w:rFonts w:ascii="Times New Roman" w:hAnsi="Times New Roman"/>
          <w:bCs/>
          <w:iCs/>
          <w:sz w:val="24"/>
          <w:szCs w:val="24"/>
        </w:rPr>
        <w:t>0</w:t>
      </w:r>
      <w:r w:rsidRPr="00832590">
        <w:rPr>
          <w:rFonts w:ascii="Times New Roman" w:hAnsi="Times New Roman"/>
          <w:bCs/>
          <w:iCs/>
          <w:sz w:val="24"/>
          <w:szCs w:val="24"/>
        </w:rPr>
        <w:t>1 процента общего объема расходов на финансирование капитальных вложений.</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В 201</w:t>
      </w:r>
      <w:r>
        <w:rPr>
          <w:rFonts w:ascii="Times New Roman" w:hAnsi="Times New Roman"/>
          <w:bCs/>
          <w:iCs/>
          <w:sz w:val="24"/>
          <w:szCs w:val="24"/>
        </w:rPr>
        <w:t>7</w:t>
      </w:r>
      <w:r w:rsidRPr="00832590">
        <w:rPr>
          <w:rFonts w:ascii="Times New Roman" w:hAnsi="Times New Roman"/>
          <w:bCs/>
          <w:iCs/>
          <w:sz w:val="24"/>
          <w:szCs w:val="24"/>
        </w:rPr>
        <w:t xml:space="preserve"> году на финансирование капитальных вложений в объекты государственной </w:t>
      </w:r>
      <w:r>
        <w:rPr>
          <w:rFonts w:ascii="Times New Roman" w:hAnsi="Times New Roman"/>
          <w:bCs/>
          <w:iCs/>
          <w:sz w:val="24"/>
          <w:szCs w:val="24"/>
        </w:rPr>
        <w:t xml:space="preserve">и муниципальной </w:t>
      </w:r>
      <w:r w:rsidRPr="00832590">
        <w:rPr>
          <w:rFonts w:ascii="Times New Roman" w:hAnsi="Times New Roman"/>
          <w:bCs/>
          <w:iCs/>
          <w:sz w:val="24"/>
          <w:szCs w:val="24"/>
        </w:rPr>
        <w:t xml:space="preserve">собственности предусмотрено направить средств в объеме </w:t>
      </w:r>
      <w:r>
        <w:rPr>
          <w:rFonts w:ascii="Times New Roman" w:hAnsi="Times New Roman"/>
          <w:bCs/>
          <w:iCs/>
          <w:sz w:val="24"/>
          <w:szCs w:val="24"/>
        </w:rPr>
        <w:t>503120,3</w:t>
      </w:r>
      <w:r w:rsidRPr="00832590">
        <w:rPr>
          <w:rFonts w:ascii="Times New Roman" w:hAnsi="Times New Roman"/>
          <w:bCs/>
          <w:iCs/>
          <w:sz w:val="24"/>
          <w:szCs w:val="24"/>
        </w:rPr>
        <w:t xml:space="preserve"> тыс. рублей, в том числе на строительство и реконструкцию автомобильных дорог общего пользования, финансируемых за счет средств дорожного фонда – </w:t>
      </w:r>
      <w:r>
        <w:rPr>
          <w:rFonts w:ascii="Times New Roman" w:hAnsi="Times New Roman"/>
          <w:bCs/>
          <w:iCs/>
          <w:sz w:val="24"/>
          <w:szCs w:val="24"/>
        </w:rPr>
        <w:t>448493,3</w:t>
      </w:r>
      <w:r w:rsidRPr="00832590">
        <w:rPr>
          <w:rFonts w:ascii="Times New Roman" w:hAnsi="Times New Roman"/>
          <w:bCs/>
          <w:iCs/>
          <w:sz w:val="24"/>
          <w:szCs w:val="24"/>
        </w:rPr>
        <w:t xml:space="preserve"> тыс. рублей, или 8</w:t>
      </w:r>
      <w:r>
        <w:rPr>
          <w:rFonts w:ascii="Times New Roman" w:hAnsi="Times New Roman"/>
          <w:bCs/>
          <w:iCs/>
          <w:sz w:val="24"/>
          <w:szCs w:val="24"/>
        </w:rPr>
        <w:t>9</w:t>
      </w:r>
      <w:r w:rsidRPr="00832590">
        <w:rPr>
          <w:rFonts w:ascii="Times New Roman" w:hAnsi="Times New Roman"/>
          <w:bCs/>
          <w:iCs/>
          <w:sz w:val="24"/>
          <w:szCs w:val="24"/>
        </w:rPr>
        <w:t>,</w:t>
      </w:r>
      <w:r>
        <w:rPr>
          <w:rFonts w:ascii="Times New Roman" w:hAnsi="Times New Roman"/>
          <w:bCs/>
          <w:iCs/>
          <w:sz w:val="24"/>
          <w:szCs w:val="24"/>
        </w:rPr>
        <w:t>1</w:t>
      </w:r>
      <w:r w:rsidRPr="00832590">
        <w:rPr>
          <w:rFonts w:ascii="Times New Roman" w:hAnsi="Times New Roman"/>
          <w:bCs/>
          <w:iCs/>
          <w:sz w:val="24"/>
          <w:szCs w:val="24"/>
        </w:rPr>
        <w:t xml:space="preserve"> процента общего объема капитальных вложений. На софинансирование капитальных вложений в объекты муниципальной собственности предусмотрено направить в 201</w:t>
      </w:r>
      <w:r>
        <w:rPr>
          <w:rFonts w:ascii="Times New Roman" w:hAnsi="Times New Roman"/>
          <w:bCs/>
          <w:iCs/>
          <w:sz w:val="24"/>
          <w:szCs w:val="24"/>
        </w:rPr>
        <w:t>7</w:t>
      </w:r>
      <w:r w:rsidRPr="00832590">
        <w:rPr>
          <w:rFonts w:ascii="Times New Roman" w:hAnsi="Times New Roman"/>
          <w:bCs/>
          <w:iCs/>
          <w:sz w:val="24"/>
          <w:szCs w:val="24"/>
        </w:rPr>
        <w:t xml:space="preserve"> году средс</w:t>
      </w:r>
      <w:r>
        <w:rPr>
          <w:rFonts w:ascii="Times New Roman" w:hAnsi="Times New Roman"/>
          <w:bCs/>
          <w:iCs/>
          <w:sz w:val="24"/>
          <w:szCs w:val="24"/>
        </w:rPr>
        <w:t xml:space="preserve">тв областного бюджета в объеме </w:t>
      </w:r>
      <w:r w:rsidRPr="00832590">
        <w:rPr>
          <w:rFonts w:ascii="Times New Roman" w:hAnsi="Times New Roman"/>
          <w:bCs/>
          <w:iCs/>
          <w:sz w:val="24"/>
          <w:szCs w:val="24"/>
        </w:rPr>
        <w:t xml:space="preserve">50,0 тыс. рублей, или </w:t>
      </w:r>
      <w:r>
        <w:rPr>
          <w:rFonts w:ascii="Times New Roman" w:hAnsi="Times New Roman"/>
          <w:bCs/>
          <w:iCs/>
          <w:sz w:val="24"/>
          <w:szCs w:val="24"/>
        </w:rPr>
        <w:t>0</w:t>
      </w:r>
      <w:r w:rsidRPr="00832590">
        <w:rPr>
          <w:rFonts w:ascii="Times New Roman" w:hAnsi="Times New Roman"/>
          <w:bCs/>
          <w:iCs/>
          <w:sz w:val="24"/>
          <w:szCs w:val="24"/>
        </w:rPr>
        <w:t>,</w:t>
      </w:r>
      <w:r>
        <w:rPr>
          <w:rFonts w:ascii="Times New Roman" w:hAnsi="Times New Roman"/>
          <w:bCs/>
          <w:iCs/>
          <w:sz w:val="24"/>
          <w:szCs w:val="24"/>
        </w:rPr>
        <w:t xml:space="preserve">01 </w:t>
      </w:r>
      <w:r w:rsidRPr="00832590">
        <w:rPr>
          <w:rFonts w:ascii="Times New Roman" w:hAnsi="Times New Roman"/>
          <w:bCs/>
          <w:iCs/>
          <w:sz w:val="24"/>
          <w:szCs w:val="24"/>
        </w:rPr>
        <w:t>процента общего объема расходов областного бюджета на капитальные вложения в объекты государственной</w:t>
      </w:r>
      <w:r>
        <w:rPr>
          <w:rFonts w:ascii="Times New Roman" w:hAnsi="Times New Roman"/>
          <w:bCs/>
          <w:iCs/>
          <w:sz w:val="24"/>
          <w:szCs w:val="24"/>
        </w:rPr>
        <w:t xml:space="preserve"> и муниципальной собственности.</w:t>
      </w:r>
    </w:p>
    <w:p w:rsidR="00F02FDF" w:rsidRPr="00252A6F"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 xml:space="preserve">В соответствии с требованиями статьи 4 Закона Амурской области от 31.08.2007 </w:t>
      </w:r>
      <w:r w:rsidRPr="00832590">
        <w:rPr>
          <w:rFonts w:ascii="Times New Roman" w:hAnsi="Times New Roman"/>
          <w:bCs/>
          <w:iCs/>
          <w:sz w:val="24"/>
          <w:szCs w:val="24"/>
        </w:rPr>
        <w:br/>
        <w:t xml:space="preserve">№ 368-ОЗ «О бюджетном процессе в Амурской области» одновременно с проектом закона об областном бюджете в Законодательное Собрание </w:t>
      </w:r>
      <w:r>
        <w:rPr>
          <w:rFonts w:ascii="Times New Roman" w:hAnsi="Times New Roman"/>
          <w:bCs/>
          <w:iCs/>
          <w:sz w:val="24"/>
          <w:szCs w:val="24"/>
        </w:rPr>
        <w:t xml:space="preserve">Амурской области </w:t>
      </w:r>
      <w:r w:rsidRPr="00832590">
        <w:rPr>
          <w:rFonts w:ascii="Times New Roman" w:hAnsi="Times New Roman"/>
          <w:bCs/>
          <w:iCs/>
          <w:sz w:val="24"/>
          <w:szCs w:val="24"/>
        </w:rPr>
        <w:t>представляется «</w:t>
      </w:r>
      <w:r>
        <w:rPr>
          <w:rFonts w:ascii="Times New Roman" w:hAnsi="Times New Roman"/>
          <w:bCs/>
          <w:iCs/>
          <w:sz w:val="24"/>
          <w:szCs w:val="24"/>
        </w:rPr>
        <w:t>П</w:t>
      </w:r>
      <w:r w:rsidRPr="00832590">
        <w:rPr>
          <w:rFonts w:ascii="Times New Roman" w:hAnsi="Times New Roman"/>
          <w:bCs/>
          <w:iCs/>
          <w:sz w:val="24"/>
          <w:szCs w:val="24"/>
        </w:rPr>
        <w:t>еречень объектов капитального строительства, учтенных в проекте закона области об областном бюджете, и объемы бюджетных ассигнований, направленных на финансовое обеспечение этих объектов». Представленный Перечень объектов капитального строительства включает в себя предусмотренные к финансированию в 201</w:t>
      </w:r>
      <w:r>
        <w:rPr>
          <w:rFonts w:ascii="Times New Roman" w:hAnsi="Times New Roman"/>
          <w:bCs/>
          <w:iCs/>
          <w:sz w:val="24"/>
          <w:szCs w:val="24"/>
        </w:rPr>
        <w:t>5</w:t>
      </w:r>
      <w:r w:rsidRPr="00832590">
        <w:rPr>
          <w:rFonts w:ascii="Times New Roman" w:hAnsi="Times New Roman"/>
          <w:bCs/>
          <w:iCs/>
          <w:sz w:val="24"/>
          <w:szCs w:val="24"/>
        </w:rPr>
        <w:t xml:space="preserve"> году </w:t>
      </w:r>
      <w:r>
        <w:rPr>
          <w:rFonts w:ascii="Times New Roman" w:hAnsi="Times New Roman"/>
          <w:bCs/>
          <w:iCs/>
          <w:sz w:val="24"/>
          <w:szCs w:val="24"/>
        </w:rPr>
        <w:br/>
        <w:t>35 объектов</w:t>
      </w:r>
      <w:r w:rsidRPr="00832590">
        <w:rPr>
          <w:rFonts w:ascii="Times New Roman" w:hAnsi="Times New Roman"/>
          <w:bCs/>
          <w:iCs/>
          <w:sz w:val="24"/>
          <w:szCs w:val="24"/>
        </w:rPr>
        <w:t xml:space="preserve"> капитального строительства государственной собственности Амурской области, объемы бюджетных ассигнований на финансовое обеспечение которых составляют </w:t>
      </w:r>
      <w:r>
        <w:rPr>
          <w:rFonts w:ascii="Times New Roman" w:hAnsi="Times New Roman"/>
          <w:bCs/>
          <w:iCs/>
          <w:sz w:val="24"/>
          <w:szCs w:val="24"/>
        </w:rPr>
        <w:br/>
        <w:t>619636</w:t>
      </w:r>
      <w:r w:rsidRPr="00832590">
        <w:rPr>
          <w:rFonts w:ascii="Times New Roman" w:hAnsi="Times New Roman"/>
          <w:bCs/>
          <w:iCs/>
          <w:sz w:val="24"/>
          <w:szCs w:val="24"/>
        </w:rPr>
        <w:t>,</w:t>
      </w:r>
      <w:r>
        <w:rPr>
          <w:rFonts w:ascii="Times New Roman" w:hAnsi="Times New Roman"/>
          <w:bCs/>
          <w:iCs/>
          <w:sz w:val="24"/>
          <w:szCs w:val="24"/>
        </w:rPr>
        <w:t>9</w:t>
      </w:r>
      <w:r w:rsidRPr="00832590">
        <w:rPr>
          <w:rFonts w:ascii="Times New Roman" w:hAnsi="Times New Roman"/>
          <w:bCs/>
          <w:iCs/>
          <w:sz w:val="24"/>
          <w:szCs w:val="24"/>
        </w:rPr>
        <w:t xml:space="preserve"> тыс. рублей, из них </w:t>
      </w:r>
      <w:r>
        <w:rPr>
          <w:rFonts w:ascii="Times New Roman" w:hAnsi="Times New Roman"/>
          <w:bCs/>
          <w:iCs/>
          <w:sz w:val="24"/>
          <w:szCs w:val="24"/>
        </w:rPr>
        <w:t>32</w:t>
      </w:r>
      <w:r w:rsidRPr="00832590">
        <w:rPr>
          <w:rFonts w:ascii="Times New Roman" w:hAnsi="Times New Roman"/>
          <w:bCs/>
          <w:iCs/>
          <w:sz w:val="24"/>
          <w:szCs w:val="24"/>
        </w:rPr>
        <w:t xml:space="preserve"> объект</w:t>
      </w:r>
      <w:r>
        <w:rPr>
          <w:rFonts w:ascii="Times New Roman" w:hAnsi="Times New Roman"/>
          <w:bCs/>
          <w:iCs/>
          <w:sz w:val="24"/>
          <w:szCs w:val="24"/>
        </w:rPr>
        <w:t>а</w:t>
      </w:r>
      <w:r w:rsidRPr="00832590">
        <w:rPr>
          <w:rFonts w:ascii="Times New Roman" w:hAnsi="Times New Roman"/>
          <w:bCs/>
          <w:iCs/>
          <w:sz w:val="24"/>
          <w:szCs w:val="24"/>
        </w:rPr>
        <w:t xml:space="preserve"> дорожного хозяйства с объемами бюджетных ассигнований </w:t>
      </w:r>
      <w:r>
        <w:rPr>
          <w:rFonts w:ascii="Times New Roman" w:hAnsi="Times New Roman"/>
          <w:bCs/>
          <w:iCs/>
          <w:sz w:val="24"/>
          <w:szCs w:val="24"/>
        </w:rPr>
        <w:t>446322</w:t>
      </w:r>
      <w:r w:rsidRPr="00832590">
        <w:rPr>
          <w:rFonts w:ascii="Times New Roman" w:hAnsi="Times New Roman"/>
          <w:bCs/>
          <w:iCs/>
          <w:sz w:val="24"/>
          <w:szCs w:val="24"/>
        </w:rPr>
        <w:t>,</w:t>
      </w:r>
      <w:r>
        <w:rPr>
          <w:rFonts w:ascii="Times New Roman" w:hAnsi="Times New Roman"/>
          <w:bCs/>
          <w:iCs/>
          <w:sz w:val="24"/>
          <w:szCs w:val="24"/>
        </w:rPr>
        <w:t>7</w:t>
      </w:r>
      <w:r w:rsidRPr="00832590">
        <w:rPr>
          <w:rFonts w:ascii="Times New Roman" w:hAnsi="Times New Roman"/>
          <w:bCs/>
          <w:iCs/>
          <w:sz w:val="24"/>
          <w:szCs w:val="24"/>
        </w:rPr>
        <w:t xml:space="preserve"> тыс. рублей. На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в Перечень объектов капитального строительства включены: в 201</w:t>
      </w:r>
      <w:r>
        <w:rPr>
          <w:rFonts w:ascii="Times New Roman" w:hAnsi="Times New Roman"/>
          <w:bCs/>
          <w:iCs/>
          <w:sz w:val="24"/>
          <w:szCs w:val="24"/>
        </w:rPr>
        <w:t>6</w:t>
      </w:r>
      <w:r w:rsidRPr="00832590">
        <w:rPr>
          <w:rFonts w:ascii="Times New Roman" w:hAnsi="Times New Roman"/>
          <w:bCs/>
          <w:iCs/>
          <w:sz w:val="24"/>
          <w:szCs w:val="24"/>
        </w:rPr>
        <w:t xml:space="preserve"> году - </w:t>
      </w:r>
      <w:r>
        <w:rPr>
          <w:rFonts w:ascii="Times New Roman" w:hAnsi="Times New Roman"/>
          <w:bCs/>
          <w:iCs/>
          <w:sz w:val="24"/>
          <w:szCs w:val="24"/>
        </w:rPr>
        <w:t>34</w:t>
      </w:r>
      <w:r w:rsidRPr="00832590">
        <w:rPr>
          <w:rFonts w:ascii="Times New Roman" w:hAnsi="Times New Roman"/>
          <w:bCs/>
          <w:iCs/>
          <w:sz w:val="24"/>
          <w:szCs w:val="24"/>
        </w:rPr>
        <w:t xml:space="preserve"> объект</w:t>
      </w:r>
      <w:r>
        <w:rPr>
          <w:rFonts w:ascii="Times New Roman" w:hAnsi="Times New Roman"/>
          <w:bCs/>
          <w:iCs/>
          <w:sz w:val="24"/>
          <w:szCs w:val="24"/>
        </w:rPr>
        <w:t>а</w:t>
      </w:r>
      <w:r w:rsidRPr="00832590">
        <w:rPr>
          <w:rFonts w:ascii="Times New Roman" w:hAnsi="Times New Roman"/>
          <w:bCs/>
          <w:iCs/>
          <w:sz w:val="24"/>
          <w:szCs w:val="24"/>
        </w:rPr>
        <w:t xml:space="preserve"> с объемами бюджетных ассигнований </w:t>
      </w:r>
      <w:r>
        <w:rPr>
          <w:rFonts w:ascii="Times New Roman" w:hAnsi="Times New Roman"/>
          <w:bCs/>
          <w:iCs/>
          <w:sz w:val="24"/>
          <w:szCs w:val="24"/>
        </w:rPr>
        <w:t>589373</w:t>
      </w:r>
      <w:r w:rsidRPr="00832590">
        <w:rPr>
          <w:rFonts w:ascii="Times New Roman" w:hAnsi="Times New Roman"/>
          <w:bCs/>
          <w:iCs/>
          <w:sz w:val="24"/>
          <w:szCs w:val="24"/>
        </w:rPr>
        <w:t>,</w:t>
      </w:r>
      <w:r>
        <w:rPr>
          <w:rFonts w:ascii="Times New Roman" w:hAnsi="Times New Roman"/>
          <w:bCs/>
          <w:iCs/>
          <w:sz w:val="24"/>
          <w:szCs w:val="24"/>
        </w:rPr>
        <w:t>6</w:t>
      </w:r>
      <w:r w:rsidRPr="00832590">
        <w:rPr>
          <w:rFonts w:ascii="Times New Roman" w:hAnsi="Times New Roman"/>
          <w:bCs/>
          <w:iCs/>
          <w:sz w:val="24"/>
          <w:szCs w:val="24"/>
        </w:rPr>
        <w:t xml:space="preserve"> тыс. рублей, из них </w:t>
      </w:r>
      <w:r>
        <w:rPr>
          <w:rFonts w:ascii="Times New Roman" w:hAnsi="Times New Roman"/>
          <w:bCs/>
          <w:iCs/>
          <w:sz w:val="24"/>
          <w:szCs w:val="24"/>
        </w:rPr>
        <w:t>33</w:t>
      </w:r>
      <w:r w:rsidRPr="00832590">
        <w:rPr>
          <w:rFonts w:ascii="Times New Roman" w:hAnsi="Times New Roman"/>
          <w:bCs/>
          <w:iCs/>
          <w:sz w:val="24"/>
          <w:szCs w:val="24"/>
        </w:rPr>
        <w:t xml:space="preserve"> объект</w:t>
      </w:r>
      <w:r>
        <w:rPr>
          <w:rFonts w:ascii="Times New Roman" w:hAnsi="Times New Roman"/>
          <w:bCs/>
          <w:iCs/>
          <w:sz w:val="24"/>
          <w:szCs w:val="24"/>
        </w:rPr>
        <w:t>а</w:t>
      </w:r>
      <w:r w:rsidRPr="00832590">
        <w:rPr>
          <w:rFonts w:ascii="Times New Roman" w:hAnsi="Times New Roman"/>
          <w:bCs/>
          <w:iCs/>
          <w:sz w:val="24"/>
          <w:szCs w:val="24"/>
        </w:rPr>
        <w:t xml:space="preserve"> дорожного хозяйства на сумму </w:t>
      </w:r>
      <w:r>
        <w:rPr>
          <w:rFonts w:ascii="Times New Roman" w:hAnsi="Times New Roman"/>
          <w:bCs/>
          <w:iCs/>
          <w:sz w:val="24"/>
          <w:szCs w:val="24"/>
        </w:rPr>
        <w:t>544542,6</w:t>
      </w:r>
      <w:r w:rsidRPr="00832590">
        <w:rPr>
          <w:rFonts w:ascii="Times New Roman" w:hAnsi="Times New Roman"/>
          <w:bCs/>
          <w:iCs/>
          <w:sz w:val="24"/>
          <w:szCs w:val="24"/>
        </w:rPr>
        <w:t xml:space="preserve"> тыс. рублей, в 201</w:t>
      </w:r>
      <w:r>
        <w:rPr>
          <w:rFonts w:ascii="Times New Roman" w:hAnsi="Times New Roman"/>
          <w:bCs/>
          <w:iCs/>
          <w:sz w:val="24"/>
          <w:szCs w:val="24"/>
        </w:rPr>
        <w:t>7</w:t>
      </w:r>
      <w:r w:rsidRPr="00832590">
        <w:rPr>
          <w:rFonts w:ascii="Times New Roman" w:hAnsi="Times New Roman"/>
          <w:bCs/>
          <w:iCs/>
          <w:sz w:val="24"/>
          <w:szCs w:val="24"/>
        </w:rPr>
        <w:t xml:space="preserve"> году - </w:t>
      </w:r>
      <w:r>
        <w:rPr>
          <w:rFonts w:ascii="Times New Roman" w:hAnsi="Times New Roman"/>
          <w:bCs/>
          <w:iCs/>
          <w:sz w:val="24"/>
          <w:szCs w:val="24"/>
        </w:rPr>
        <w:t>3</w:t>
      </w:r>
      <w:r w:rsidRPr="00832590">
        <w:rPr>
          <w:rFonts w:ascii="Times New Roman" w:hAnsi="Times New Roman"/>
          <w:bCs/>
          <w:iCs/>
          <w:sz w:val="24"/>
          <w:szCs w:val="24"/>
        </w:rPr>
        <w:t>2 объект</w:t>
      </w:r>
      <w:r>
        <w:rPr>
          <w:rFonts w:ascii="Times New Roman" w:hAnsi="Times New Roman"/>
          <w:bCs/>
          <w:iCs/>
          <w:sz w:val="24"/>
          <w:szCs w:val="24"/>
        </w:rPr>
        <w:t>а</w:t>
      </w:r>
      <w:r w:rsidRPr="00832590">
        <w:rPr>
          <w:rFonts w:ascii="Times New Roman" w:hAnsi="Times New Roman"/>
          <w:bCs/>
          <w:iCs/>
          <w:sz w:val="24"/>
          <w:szCs w:val="24"/>
        </w:rPr>
        <w:t xml:space="preserve"> с объемами бюджетных ассигнований </w:t>
      </w:r>
      <w:r w:rsidRPr="00CB5DB7">
        <w:rPr>
          <w:rFonts w:ascii="Times New Roman" w:hAnsi="Times New Roman"/>
          <w:bCs/>
          <w:iCs/>
          <w:sz w:val="24"/>
          <w:szCs w:val="24"/>
        </w:rPr>
        <w:t xml:space="preserve">503070,3 </w:t>
      </w:r>
      <w:r w:rsidRPr="00832590">
        <w:rPr>
          <w:rFonts w:ascii="Times New Roman" w:hAnsi="Times New Roman"/>
          <w:bCs/>
          <w:iCs/>
          <w:sz w:val="24"/>
          <w:szCs w:val="24"/>
        </w:rPr>
        <w:t xml:space="preserve">тыс. рублей, из них </w:t>
      </w:r>
      <w:r>
        <w:rPr>
          <w:rFonts w:ascii="Times New Roman" w:hAnsi="Times New Roman"/>
          <w:bCs/>
          <w:iCs/>
          <w:sz w:val="24"/>
          <w:szCs w:val="24"/>
        </w:rPr>
        <w:t>3</w:t>
      </w:r>
      <w:r w:rsidRPr="00832590">
        <w:rPr>
          <w:rFonts w:ascii="Times New Roman" w:hAnsi="Times New Roman"/>
          <w:bCs/>
          <w:iCs/>
          <w:sz w:val="24"/>
          <w:szCs w:val="24"/>
        </w:rPr>
        <w:t xml:space="preserve">1 объект дорожного хозяйства на сумму </w:t>
      </w:r>
      <w:r>
        <w:rPr>
          <w:rFonts w:ascii="Times New Roman" w:hAnsi="Times New Roman"/>
          <w:bCs/>
          <w:iCs/>
          <w:sz w:val="24"/>
          <w:szCs w:val="24"/>
        </w:rPr>
        <w:t>448493</w:t>
      </w:r>
      <w:r w:rsidRPr="00252A6F">
        <w:rPr>
          <w:rFonts w:ascii="Times New Roman" w:hAnsi="Times New Roman"/>
          <w:bCs/>
          <w:iCs/>
          <w:sz w:val="24"/>
          <w:szCs w:val="24"/>
        </w:rPr>
        <w:t>,3 тыс. рублей.</w:t>
      </w:r>
    </w:p>
    <w:p w:rsidR="00F02FDF" w:rsidRPr="00113CFE" w:rsidRDefault="00F02FDF" w:rsidP="00F02FD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252A6F">
        <w:rPr>
          <w:rFonts w:ascii="Times New Roman" w:hAnsi="Times New Roman"/>
          <w:sz w:val="24"/>
          <w:szCs w:val="24"/>
        </w:rPr>
        <w:t>Контрольно-счетная палата Амурской области отмечает, что в Перечне объектов капитального строительства областной собственности не отражены сведения о конкретных объектах, предусмотренных в 201</w:t>
      </w:r>
      <w:r>
        <w:rPr>
          <w:rFonts w:ascii="Times New Roman" w:hAnsi="Times New Roman"/>
          <w:sz w:val="24"/>
          <w:szCs w:val="24"/>
        </w:rPr>
        <w:t>5-2017</w:t>
      </w:r>
      <w:r w:rsidRPr="00252A6F">
        <w:rPr>
          <w:rFonts w:ascii="Times New Roman" w:hAnsi="Times New Roman"/>
          <w:sz w:val="24"/>
          <w:szCs w:val="24"/>
        </w:rPr>
        <w:t xml:space="preserve"> год</w:t>
      </w:r>
      <w:r>
        <w:rPr>
          <w:rFonts w:ascii="Times New Roman" w:hAnsi="Times New Roman"/>
          <w:sz w:val="24"/>
          <w:szCs w:val="24"/>
        </w:rPr>
        <w:t>ах</w:t>
      </w:r>
      <w:r w:rsidRPr="00252A6F">
        <w:rPr>
          <w:rFonts w:ascii="Times New Roman" w:hAnsi="Times New Roman"/>
          <w:sz w:val="24"/>
          <w:szCs w:val="24"/>
        </w:rPr>
        <w:t xml:space="preserve"> </w:t>
      </w:r>
      <w:r w:rsidRPr="000B34E5">
        <w:rPr>
          <w:rFonts w:ascii="Times New Roman" w:hAnsi="Times New Roman"/>
          <w:bCs/>
          <w:iCs/>
          <w:sz w:val="24"/>
          <w:szCs w:val="24"/>
        </w:rPr>
        <w:t xml:space="preserve">в рамках </w:t>
      </w:r>
      <w:r>
        <w:rPr>
          <w:rFonts w:ascii="Times New Roman" w:hAnsi="Times New Roman"/>
          <w:bCs/>
          <w:iCs/>
          <w:sz w:val="24"/>
          <w:szCs w:val="24"/>
        </w:rPr>
        <w:t xml:space="preserve">подпрограммы «Семья детям»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ы</w:t>
      </w:r>
      <w:r w:rsidRPr="000B34E5">
        <w:rPr>
          <w:rFonts w:ascii="Times New Roman" w:hAnsi="Times New Roman"/>
          <w:bCs/>
          <w:iCs/>
          <w:sz w:val="24"/>
          <w:szCs w:val="24"/>
        </w:rPr>
        <w:t xml:space="preserve"> «Обеспечение доступным и качественным жильем населения Амурской области на 2014-2020 годы»</w:t>
      </w:r>
      <w:r>
        <w:rPr>
          <w:rFonts w:ascii="Times New Roman" w:hAnsi="Times New Roman"/>
          <w:bCs/>
          <w:iCs/>
          <w:sz w:val="24"/>
          <w:szCs w:val="24"/>
        </w:rPr>
        <w:t xml:space="preserve"> на строительство новых жилых домов для предоставления семьям, готовым взять на воспитание 5 и более детей-сирот и (или) детей, оставшихся без попечения родителей. </w:t>
      </w:r>
      <w:r w:rsidRPr="007222E2">
        <w:rPr>
          <w:rFonts w:ascii="Times New Roman" w:hAnsi="Times New Roman"/>
          <w:sz w:val="24"/>
          <w:szCs w:val="24"/>
        </w:rPr>
        <w:t xml:space="preserve">Системой основных мероприятий, предусмотренных подпрограммой «Семья детям» </w:t>
      </w:r>
      <w:r w:rsidRPr="007222E2">
        <w:rPr>
          <w:rFonts w:ascii="Times New Roman" w:hAnsi="Times New Roman"/>
          <w:bCs/>
          <w:iCs/>
          <w:sz w:val="24"/>
          <w:szCs w:val="24"/>
        </w:rPr>
        <w:t xml:space="preserve">государственной программы «Обеспечение доступным и качественным жильем населения </w:t>
      </w:r>
      <w:r w:rsidRPr="000B34E5">
        <w:rPr>
          <w:rFonts w:ascii="Times New Roman" w:hAnsi="Times New Roman"/>
          <w:bCs/>
          <w:iCs/>
          <w:sz w:val="24"/>
          <w:szCs w:val="24"/>
        </w:rPr>
        <w:t>Амурской области на 2014-2020 годы»</w:t>
      </w:r>
      <w:r>
        <w:rPr>
          <w:rFonts w:ascii="Times New Roman" w:hAnsi="Times New Roman"/>
          <w:bCs/>
          <w:iCs/>
          <w:sz w:val="24"/>
          <w:szCs w:val="24"/>
        </w:rPr>
        <w:t>, утвержденной постановлением Правительства Амурской области от 25.09.2013 № 446 (в редакции постановления Правительства Амурской области от 25.09.2014 № 582), предусмотрено, что «для строительства жилых домов министерству строительства и архитектуры области необходимо подобрать сформированные земельные участки под жилищное строительство на территории муниципальных образований области в соответствии с установленными нормами».</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Контрольно-счетная палата области отмечает</w:t>
      </w:r>
      <w:r>
        <w:rPr>
          <w:rFonts w:ascii="Times New Roman" w:hAnsi="Times New Roman"/>
          <w:bCs/>
          <w:iCs/>
          <w:sz w:val="24"/>
          <w:szCs w:val="24"/>
        </w:rPr>
        <w:t xml:space="preserve"> наличие значительных объемов незавершенного строительства по объектам государственной собственности области, в том числе </w:t>
      </w:r>
      <w:r w:rsidRPr="00832590">
        <w:rPr>
          <w:rFonts w:ascii="Times New Roman" w:hAnsi="Times New Roman"/>
          <w:bCs/>
          <w:iCs/>
          <w:sz w:val="24"/>
          <w:szCs w:val="24"/>
        </w:rPr>
        <w:t xml:space="preserve">объектов с высокой степенью готовности, </w:t>
      </w:r>
      <w:r>
        <w:rPr>
          <w:rFonts w:ascii="Times New Roman" w:hAnsi="Times New Roman"/>
          <w:bCs/>
          <w:iCs/>
          <w:sz w:val="24"/>
          <w:szCs w:val="24"/>
        </w:rPr>
        <w:t>не обеспеченных фина</w:t>
      </w:r>
      <w:r w:rsidR="00113CFE">
        <w:rPr>
          <w:rFonts w:ascii="Times New Roman" w:hAnsi="Times New Roman"/>
          <w:bCs/>
          <w:iCs/>
          <w:sz w:val="24"/>
          <w:szCs w:val="24"/>
        </w:rPr>
        <w:t xml:space="preserve">нсированием </w:t>
      </w:r>
      <w:r w:rsidR="00113CFE">
        <w:rPr>
          <w:rFonts w:ascii="Times New Roman" w:hAnsi="Times New Roman"/>
          <w:bCs/>
          <w:iCs/>
          <w:sz w:val="24"/>
          <w:szCs w:val="24"/>
        </w:rPr>
        <w:br/>
        <w:t>в 2015-2017 годах.</w:t>
      </w:r>
    </w:p>
    <w:p w:rsidR="00F02FDF" w:rsidRPr="00BD03F1"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Так, законопроектом об областном бюджете </w:t>
      </w:r>
      <w:r w:rsidRPr="00832590">
        <w:rPr>
          <w:rFonts w:ascii="Times New Roman" w:hAnsi="Times New Roman"/>
          <w:bCs/>
          <w:iCs/>
          <w:sz w:val="24"/>
          <w:szCs w:val="24"/>
        </w:rPr>
        <w:t>на 201</w:t>
      </w:r>
      <w:r>
        <w:rPr>
          <w:rFonts w:ascii="Times New Roman" w:hAnsi="Times New Roman"/>
          <w:bCs/>
          <w:iCs/>
          <w:sz w:val="24"/>
          <w:szCs w:val="24"/>
        </w:rPr>
        <w:t>5 год и плановый период 2016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w:t>
      </w:r>
      <w:r w:rsidRPr="00BD03F1">
        <w:rPr>
          <w:rFonts w:ascii="Times New Roman" w:hAnsi="Times New Roman"/>
          <w:bCs/>
          <w:iCs/>
          <w:sz w:val="24"/>
          <w:szCs w:val="24"/>
        </w:rPr>
        <w:t xml:space="preserve">не предусмотрены расходы на завершение строительства объектов, функции </w:t>
      </w:r>
      <w:r w:rsidRPr="00BD03F1">
        <w:rPr>
          <w:rFonts w:ascii="Times New Roman" w:hAnsi="Times New Roman"/>
          <w:bCs/>
          <w:iCs/>
          <w:sz w:val="24"/>
          <w:szCs w:val="24"/>
        </w:rPr>
        <w:lastRenderedPageBreak/>
        <w:t>заказчика-застройщика по которым осуществляются ГК</w:t>
      </w:r>
      <w:r w:rsidR="00113CFE">
        <w:rPr>
          <w:rFonts w:ascii="Times New Roman" w:hAnsi="Times New Roman"/>
          <w:bCs/>
          <w:iCs/>
          <w:sz w:val="24"/>
          <w:szCs w:val="24"/>
        </w:rPr>
        <w:t>У Амурской области «Строитель»:</w:t>
      </w:r>
    </w:p>
    <w:p w:rsidR="00F02FDF" w:rsidRPr="000E373E" w:rsidRDefault="00F02FDF" w:rsidP="000E373E">
      <w:pPr>
        <w:pStyle w:val="ad"/>
        <w:numPr>
          <w:ilvl w:val="0"/>
          <w:numId w:val="34"/>
        </w:numPr>
        <w:tabs>
          <w:tab w:val="left" w:pos="142"/>
          <w:tab w:val="left" w:pos="851"/>
        </w:tabs>
        <w:spacing w:after="0" w:line="240" w:lineRule="auto"/>
        <w:ind w:left="0" w:firstLine="709"/>
        <w:jc w:val="both"/>
        <w:rPr>
          <w:rFonts w:ascii="Times New Roman" w:hAnsi="Times New Roman"/>
          <w:sz w:val="24"/>
          <w:szCs w:val="24"/>
        </w:rPr>
      </w:pPr>
      <w:r w:rsidRPr="000E373E">
        <w:rPr>
          <w:rFonts w:ascii="Times New Roman" w:hAnsi="Times New Roman"/>
          <w:bCs/>
          <w:iCs/>
          <w:sz w:val="24"/>
          <w:szCs w:val="24"/>
        </w:rPr>
        <w:t xml:space="preserve">«Дом-интернат для умственно отсталых детей, с. Малиновка Бурейского района» (блок В) - стоимость незавершенного строительства - 141534,7 тыс. рублей, </w:t>
      </w:r>
      <w:r w:rsidRPr="000E373E">
        <w:rPr>
          <w:rFonts w:ascii="Times New Roman" w:hAnsi="Times New Roman"/>
          <w:sz w:val="24"/>
          <w:szCs w:val="24"/>
        </w:rPr>
        <w:t>техническая готовность объекта – 72,0 процента. В условиях незавершенного строительством объекта мероприятиями государственной программы Амурской области «Развитие системы социальной защиты населения Амурской области на 2014-2020 годы», утвержденной Постановлением Правительства Амурской области от 25.09.2013 № 444 (</w:t>
      </w:r>
      <w:r w:rsidRPr="000E373E">
        <w:rPr>
          <w:rFonts w:ascii="Times New Roman" w:hAnsi="Times New Roman"/>
          <w:bCs/>
          <w:iCs/>
          <w:sz w:val="24"/>
          <w:szCs w:val="24"/>
        </w:rPr>
        <w:t>в редакции постановления Правительства Амурской области от 25.09.2014 № 581</w:t>
      </w:r>
      <w:r w:rsidRPr="000E373E">
        <w:rPr>
          <w:rFonts w:ascii="Times New Roman" w:hAnsi="Times New Roman"/>
          <w:sz w:val="24"/>
          <w:szCs w:val="24"/>
        </w:rPr>
        <w:t>), расходы на строительство объекта пр</w:t>
      </w:r>
      <w:r w:rsidR="00113CFE" w:rsidRPr="000E373E">
        <w:rPr>
          <w:rFonts w:ascii="Times New Roman" w:hAnsi="Times New Roman"/>
          <w:sz w:val="24"/>
          <w:szCs w:val="24"/>
        </w:rPr>
        <w:t>едусмотрены только в 2019 году;</w:t>
      </w:r>
    </w:p>
    <w:p w:rsidR="00F02FDF" w:rsidRPr="000E373E" w:rsidRDefault="00F02FDF" w:rsidP="000E373E">
      <w:pPr>
        <w:pStyle w:val="ad"/>
        <w:numPr>
          <w:ilvl w:val="0"/>
          <w:numId w:val="34"/>
        </w:numPr>
        <w:tabs>
          <w:tab w:val="left" w:pos="142"/>
          <w:tab w:val="left" w:pos="851"/>
        </w:tabs>
        <w:spacing w:after="0" w:line="240" w:lineRule="auto"/>
        <w:ind w:left="0" w:firstLine="709"/>
        <w:jc w:val="both"/>
        <w:rPr>
          <w:rFonts w:ascii="Times New Roman" w:hAnsi="Times New Roman"/>
          <w:sz w:val="24"/>
          <w:szCs w:val="24"/>
        </w:rPr>
      </w:pPr>
      <w:r w:rsidRPr="000E373E">
        <w:rPr>
          <w:rFonts w:ascii="Times New Roman" w:hAnsi="Times New Roman"/>
          <w:bCs/>
          <w:iCs/>
          <w:sz w:val="24"/>
          <w:szCs w:val="24"/>
        </w:rPr>
        <w:t>«Психоневрологический интернат в с. Новый Быт (спальный корпус)» -</w:t>
      </w:r>
      <w:r w:rsidRPr="000E373E">
        <w:rPr>
          <w:rFonts w:ascii="Times New Roman" w:hAnsi="Times New Roman"/>
          <w:sz w:val="24"/>
          <w:szCs w:val="24"/>
        </w:rPr>
        <w:t xml:space="preserve"> </w:t>
      </w:r>
      <w:r w:rsidRPr="000E373E">
        <w:rPr>
          <w:rFonts w:ascii="Times New Roman" w:hAnsi="Times New Roman"/>
          <w:bCs/>
          <w:iCs/>
          <w:sz w:val="24"/>
          <w:szCs w:val="24"/>
        </w:rPr>
        <w:t xml:space="preserve">стоимость незавершенного строительства - </w:t>
      </w:r>
      <w:r w:rsidRPr="000E373E">
        <w:rPr>
          <w:rFonts w:ascii="Times New Roman" w:hAnsi="Times New Roman"/>
          <w:sz w:val="24"/>
          <w:szCs w:val="24"/>
        </w:rPr>
        <w:t>10734,0 тыс. рублей, техническая готовность объекта – 51,0 процент. В условиях незавершенного строительством объекта, мероприятиями государственной программы Амурской области «Развитие системы социальной защиты населения Амурской области на 2014-2020 годы», утвержденной Постановлением Правительства Амурской области от 25.09.2013 № 444 (</w:t>
      </w:r>
      <w:r w:rsidRPr="000E373E">
        <w:rPr>
          <w:rFonts w:ascii="Times New Roman" w:hAnsi="Times New Roman"/>
          <w:bCs/>
          <w:iCs/>
          <w:sz w:val="24"/>
          <w:szCs w:val="24"/>
        </w:rPr>
        <w:t>в редакции постановления Правительства Амурской области от 25.09.2014 № 581</w:t>
      </w:r>
      <w:r w:rsidRPr="000E373E">
        <w:rPr>
          <w:rFonts w:ascii="Times New Roman" w:hAnsi="Times New Roman"/>
          <w:sz w:val="24"/>
          <w:szCs w:val="24"/>
        </w:rPr>
        <w:t>), расходы на строительство объекта пр</w:t>
      </w:r>
      <w:r w:rsidR="00113CFE" w:rsidRPr="000E373E">
        <w:rPr>
          <w:rFonts w:ascii="Times New Roman" w:hAnsi="Times New Roman"/>
          <w:sz w:val="24"/>
          <w:szCs w:val="24"/>
        </w:rPr>
        <w:t>едусмотрены только в 2019 году;</w:t>
      </w:r>
    </w:p>
    <w:p w:rsidR="00F02FDF" w:rsidRPr="00BD03F1" w:rsidRDefault="00F02FDF" w:rsidP="000E373E">
      <w:pPr>
        <w:pStyle w:val="af5"/>
        <w:numPr>
          <w:ilvl w:val="0"/>
          <w:numId w:val="34"/>
        </w:numPr>
        <w:tabs>
          <w:tab w:val="clear" w:pos="709"/>
          <w:tab w:val="left" w:pos="142"/>
          <w:tab w:val="left" w:pos="851"/>
        </w:tabs>
        <w:spacing w:after="0" w:line="240" w:lineRule="auto"/>
        <w:ind w:left="0" w:firstLine="709"/>
        <w:jc w:val="both"/>
      </w:pPr>
      <w:r w:rsidRPr="00BD03F1">
        <w:rPr>
          <w:rFonts w:ascii="Times New Roman" w:hAnsi="Times New Roman" w:cs="Times New Roman"/>
          <w:sz w:val="24"/>
          <w:szCs w:val="24"/>
        </w:rPr>
        <w:t xml:space="preserve">База «Желундинская» - </w:t>
      </w:r>
      <w:r w:rsidRPr="00BD03F1">
        <w:rPr>
          <w:rFonts w:ascii="Times New Roman" w:hAnsi="Times New Roman"/>
          <w:bCs/>
          <w:iCs/>
          <w:sz w:val="24"/>
          <w:szCs w:val="24"/>
        </w:rPr>
        <w:t xml:space="preserve">стоимость незавершенного строительства - </w:t>
      </w:r>
      <w:r w:rsidRPr="00BD03F1">
        <w:rPr>
          <w:rFonts w:ascii="Times New Roman" w:hAnsi="Times New Roman" w:cs="Times New Roman"/>
          <w:sz w:val="24"/>
          <w:szCs w:val="24"/>
        </w:rPr>
        <w:t xml:space="preserve">15463,9 тыс. рублей, техническая готовность объекта – 80,6 процента. </w:t>
      </w:r>
      <w:r w:rsidRPr="00BD03F1">
        <w:rPr>
          <w:rFonts w:ascii="Times New Roman" w:hAnsi="Times New Roman"/>
          <w:sz w:val="24"/>
          <w:szCs w:val="24"/>
        </w:rPr>
        <w:t>В условиях незавершенного строительством объекта мероприятиями государственной программы Амурской области «Охрана окружающей среды в Амурской области на 2014-2020 годы», утвержденной Постановлением Правительства Амурской области от 25.09.2013 № 453 (</w:t>
      </w:r>
      <w:r w:rsidRPr="00BD03F1">
        <w:rPr>
          <w:rFonts w:ascii="Times New Roman" w:hAnsi="Times New Roman"/>
          <w:bCs/>
          <w:iCs/>
          <w:sz w:val="24"/>
          <w:szCs w:val="24"/>
        </w:rPr>
        <w:t>в редакции постановления Правительства Амурской области от 25.09.2014 № 587</w:t>
      </w:r>
      <w:r w:rsidRPr="00BD03F1">
        <w:rPr>
          <w:rFonts w:ascii="Times New Roman" w:hAnsi="Times New Roman"/>
          <w:sz w:val="24"/>
          <w:szCs w:val="24"/>
        </w:rPr>
        <w:t xml:space="preserve">), расходы на завершение строительства объекта </w:t>
      </w:r>
      <w:r w:rsidRPr="00BD03F1">
        <w:rPr>
          <w:rFonts w:ascii="Times New Roman" w:hAnsi="Times New Roman" w:cs="Times New Roman"/>
          <w:sz w:val="24"/>
          <w:szCs w:val="24"/>
        </w:rPr>
        <w:t>не предусмотрены;</w:t>
      </w:r>
    </w:p>
    <w:p w:rsidR="00F02FDF" w:rsidRPr="00BD03F1" w:rsidRDefault="00F02FDF" w:rsidP="000E373E">
      <w:pPr>
        <w:pStyle w:val="af5"/>
        <w:numPr>
          <w:ilvl w:val="0"/>
          <w:numId w:val="34"/>
        </w:numPr>
        <w:tabs>
          <w:tab w:val="clear" w:pos="709"/>
          <w:tab w:val="left" w:pos="142"/>
          <w:tab w:val="left" w:pos="851"/>
        </w:tabs>
        <w:spacing w:after="0" w:line="240" w:lineRule="auto"/>
        <w:ind w:left="0" w:firstLine="709"/>
        <w:jc w:val="both"/>
      </w:pPr>
      <w:r w:rsidRPr="00BD03F1">
        <w:rPr>
          <w:rFonts w:ascii="Times New Roman" w:hAnsi="Times New Roman"/>
          <w:sz w:val="24"/>
          <w:szCs w:val="24"/>
          <w:lang w:val="en-US"/>
        </w:rPr>
        <w:t>II</w:t>
      </w:r>
      <w:r w:rsidRPr="00BD03F1">
        <w:rPr>
          <w:rFonts w:ascii="Times New Roman" w:hAnsi="Times New Roman"/>
          <w:sz w:val="24"/>
          <w:szCs w:val="24"/>
        </w:rPr>
        <w:t xml:space="preserve"> очередь Шумиловского участка временного захоронения твердых токсичных отходов – </w:t>
      </w:r>
      <w:r w:rsidRPr="00BD03F1">
        <w:rPr>
          <w:rFonts w:ascii="Times New Roman" w:hAnsi="Times New Roman"/>
          <w:bCs/>
          <w:iCs/>
          <w:sz w:val="24"/>
          <w:szCs w:val="24"/>
        </w:rPr>
        <w:t xml:space="preserve">стоимость незавершенного строительства - </w:t>
      </w:r>
      <w:r w:rsidRPr="00BD03F1">
        <w:rPr>
          <w:rFonts w:ascii="Times New Roman" w:hAnsi="Times New Roman"/>
          <w:sz w:val="24"/>
          <w:szCs w:val="24"/>
        </w:rPr>
        <w:t>14178,1 тыс. рублей, техническая готовность объекта – 28 процентов. В условиях незавершенного строительством объекта мероприятиями государственной программы Амурской области «Охрана окружающей среды в Амурской области на 2014-2020 годы», утвержденной Постановлением Правительства Амурской области от 25.09.2013 № 453 (</w:t>
      </w:r>
      <w:r w:rsidRPr="00BD03F1">
        <w:rPr>
          <w:rFonts w:ascii="Times New Roman" w:hAnsi="Times New Roman"/>
          <w:bCs/>
          <w:iCs/>
          <w:sz w:val="24"/>
          <w:szCs w:val="24"/>
        </w:rPr>
        <w:t>в редакции постановления Правительства Амурской области от 25.09.2014 № 587</w:t>
      </w:r>
      <w:r w:rsidRPr="00BD03F1">
        <w:rPr>
          <w:rFonts w:ascii="Times New Roman" w:hAnsi="Times New Roman"/>
          <w:sz w:val="24"/>
          <w:szCs w:val="24"/>
        </w:rPr>
        <w:t xml:space="preserve">), расходы на строительство объекта </w:t>
      </w:r>
      <w:r w:rsidRPr="00BD03F1">
        <w:rPr>
          <w:rFonts w:ascii="Times New Roman" w:hAnsi="Times New Roman" w:cs="Times New Roman"/>
          <w:sz w:val="24"/>
          <w:szCs w:val="24"/>
        </w:rPr>
        <w:t>не предусмотрены;</w:t>
      </w:r>
    </w:p>
    <w:p w:rsidR="00F02FDF" w:rsidRPr="00BD03F1" w:rsidRDefault="00F02FDF" w:rsidP="000E373E">
      <w:pPr>
        <w:pStyle w:val="af5"/>
        <w:numPr>
          <w:ilvl w:val="0"/>
          <w:numId w:val="34"/>
        </w:numPr>
        <w:tabs>
          <w:tab w:val="clear" w:pos="709"/>
          <w:tab w:val="left" w:pos="142"/>
          <w:tab w:val="left" w:pos="851"/>
        </w:tabs>
        <w:spacing w:after="0" w:line="240" w:lineRule="auto"/>
        <w:ind w:left="0" w:firstLine="709"/>
        <w:jc w:val="both"/>
      </w:pPr>
      <w:r w:rsidRPr="00BD03F1">
        <w:rPr>
          <w:rFonts w:ascii="Times New Roman" w:hAnsi="Times New Roman" w:cs="Times New Roman"/>
          <w:sz w:val="24"/>
          <w:szCs w:val="24"/>
        </w:rPr>
        <w:t xml:space="preserve">Реконструкция очистных сооружений 2-я очередь п. Новобурейский – </w:t>
      </w:r>
      <w:r w:rsidRPr="00BD03F1">
        <w:rPr>
          <w:rFonts w:ascii="Times New Roman" w:hAnsi="Times New Roman"/>
          <w:bCs/>
          <w:iCs/>
          <w:sz w:val="24"/>
          <w:szCs w:val="24"/>
        </w:rPr>
        <w:t xml:space="preserve">стоимость незавершенного строительства - </w:t>
      </w:r>
      <w:r w:rsidRPr="00BD03F1">
        <w:rPr>
          <w:rFonts w:ascii="Times New Roman" w:hAnsi="Times New Roman" w:cs="Times New Roman"/>
          <w:sz w:val="24"/>
          <w:szCs w:val="24"/>
        </w:rPr>
        <w:t xml:space="preserve">268194,7 тыс. рублей, кроме того по счету «Материальные запасы - иное движимое имущество учреждения» числится оборудование на сумму 184399,5 тыс. рублей, требующее монтажа, оплата и передача на ответственное хранение оборудования осуществлены в 2007-2009 году. Техническая готовность объекта – </w:t>
      </w:r>
      <w:r>
        <w:rPr>
          <w:rFonts w:ascii="Times New Roman" w:hAnsi="Times New Roman" w:cs="Times New Roman"/>
          <w:sz w:val="24"/>
          <w:szCs w:val="24"/>
        </w:rPr>
        <w:br/>
      </w:r>
      <w:r w:rsidRPr="00BD03F1">
        <w:rPr>
          <w:rFonts w:ascii="Times New Roman" w:hAnsi="Times New Roman" w:cs="Times New Roman"/>
          <w:sz w:val="24"/>
          <w:szCs w:val="24"/>
        </w:rPr>
        <w:t>78,8 процента, работы не ведутся с 2012 года</w:t>
      </w:r>
      <w:r w:rsidRPr="00BD03F1">
        <w:rPr>
          <w:rFonts w:ascii="Times New Roman" w:hAnsi="Times New Roman"/>
          <w:sz w:val="24"/>
          <w:szCs w:val="24"/>
        </w:rPr>
        <w:t>.</w:t>
      </w:r>
      <w:r w:rsidRPr="00BD03F1">
        <w:rPr>
          <w:rFonts w:ascii="Times New Roman" w:hAnsi="Times New Roman" w:cs="Times New Roman"/>
          <w:sz w:val="24"/>
          <w:szCs w:val="24"/>
        </w:rPr>
        <w:t xml:space="preserve"> </w:t>
      </w:r>
      <w:r w:rsidRPr="00BD03F1">
        <w:rPr>
          <w:rFonts w:ascii="Times New Roman" w:hAnsi="Times New Roman"/>
          <w:sz w:val="24"/>
          <w:szCs w:val="24"/>
        </w:rPr>
        <w:t xml:space="preserve">Мероприятиями государственных программ Амурской области «Охрана окружающей среды в Амурской области на 2014-2020 годы», утвержденной Постановлением Правительства Амурской области от 25.09.2013 № 453 </w:t>
      </w:r>
      <w:r>
        <w:rPr>
          <w:rFonts w:ascii="Times New Roman" w:hAnsi="Times New Roman"/>
          <w:sz w:val="24"/>
          <w:szCs w:val="24"/>
        </w:rPr>
        <w:br/>
      </w:r>
      <w:r w:rsidRPr="00BD03F1">
        <w:rPr>
          <w:rFonts w:ascii="Times New Roman" w:hAnsi="Times New Roman"/>
          <w:sz w:val="24"/>
          <w:szCs w:val="24"/>
        </w:rPr>
        <w:t>(</w:t>
      </w:r>
      <w:r w:rsidRPr="00BD03F1">
        <w:rPr>
          <w:rFonts w:ascii="Times New Roman" w:hAnsi="Times New Roman"/>
          <w:bCs/>
          <w:iCs/>
          <w:sz w:val="24"/>
          <w:szCs w:val="24"/>
        </w:rPr>
        <w:t>в редакции постановления Правительства Амурской области от 25.09.2014 № 587</w:t>
      </w:r>
      <w:r w:rsidRPr="00BD03F1">
        <w:rPr>
          <w:rFonts w:ascii="Times New Roman" w:hAnsi="Times New Roman"/>
          <w:sz w:val="24"/>
          <w:szCs w:val="24"/>
        </w:rPr>
        <w:t xml:space="preserve">), </w:t>
      </w:r>
      <w:r w:rsidRPr="00BD03F1">
        <w:rPr>
          <w:rFonts w:ascii="Times New Roman" w:hAnsi="Times New Roman"/>
          <w:bCs/>
          <w:iCs/>
          <w:sz w:val="24"/>
          <w:szCs w:val="24"/>
        </w:rPr>
        <w:t xml:space="preserve">«Снижение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w:t>
      </w:r>
      <w:r>
        <w:rPr>
          <w:rFonts w:ascii="Times New Roman" w:hAnsi="Times New Roman"/>
          <w:bCs/>
          <w:iCs/>
          <w:sz w:val="24"/>
          <w:szCs w:val="24"/>
        </w:rPr>
        <w:br/>
      </w:r>
      <w:r w:rsidRPr="00BD03F1">
        <w:rPr>
          <w:rFonts w:ascii="Times New Roman" w:hAnsi="Times New Roman"/>
          <w:bCs/>
          <w:iCs/>
          <w:sz w:val="24"/>
          <w:szCs w:val="24"/>
        </w:rPr>
        <w:t xml:space="preserve">на 2014–2020 годы», </w:t>
      </w:r>
      <w:r w:rsidRPr="00BD03F1">
        <w:rPr>
          <w:rFonts w:ascii="Times New Roman" w:hAnsi="Times New Roman"/>
          <w:sz w:val="24"/>
          <w:szCs w:val="24"/>
        </w:rPr>
        <w:t>утвержденной Постановлением Правительства Амурской области от 25.09.2013 № 454 (</w:t>
      </w:r>
      <w:r w:rsidRPr="00BD03F1">
        <w:rPr>
          <w:rFonts w:ascii="Times New Roman" w:hAnsi="Times New Roman"/>
          <w:bCs/>
          <w:iCs/>
          <w:sz w:val="24"/>
          <w:szCs w:val="24"/>
        </w:rPr>
        <w:t xml:space="preserve">в редакции постановления Правительства Амурской области </w:t>
      </w:r>
      <w:r>
        <w:rPr>
          <w:rFonts w:ascii="Times New Roman" w:hAnsi="Times New Roman"/>
          <w:bCs/>
          <w:iCs/>
          <w:sz w:val="24"/>
          <w:szCs w:val="24"/>
        </w:rPr>
        <w:br/>
      </w:r>
      <w:r w:rsidRPr="00BD03F1">
        <w:rPr>
          <w:rFonts w:ascii="Times New Roman" w:hAnsi="Times New Roman"/>
          <w:bCs/>
          <w:iCs/>
          <w:sz w:val="24"/>
          <w:szCs w:val="24"/>
        </w:rPr>
        <w:t>от 25.09.2014 № 579</w:t>
      </w:r>
      <w:r w:rsidRPr="00BD03F1">
        <w:rPr>
          <w:rFonts w:ascii="Times New Roman" w:hAnsi="Times New Roman"/>
          <w:sz w:val="24"/>
          <w:szCs w:val="24"/>
        </w:rPr>
        <w:t>),</w:t>
      </w:r>
      <w:r w:rsidRPr="00BD03F1">
        <w:rPr>
          <w:rFonts w:ascii="Times New Roman" w:hAnsi="Times New Roman"/>
          <w:bCs/>
          <w:iCs/>
          <w:sz w:val="24"/>
          <w:szCs w:val="24"/>
        </w:rPr>
        <w:t xml:space="preserve"> </w:t>
      </w:r>
      <w:r w:rsidRPr="00BD03F1">
        <w:rPr>
          <w:rFonts w:ascii="Times New Roman" w:hAnsi="Times New Roman"/>
          <w:sz w:val="24"/>
          <w:szCs w:val="24"/>
        </w:rPr>
        <w:t xml:space="preserve">расходы на завершение строительства объекта </w:t>
      </w:r>
      <w:r>
        <w:rPr>
          <w:rFonts w:ascii="Times New Roman" w:hAnsi="Times New Roman" w:cs="Times New Roman"/>
          <w:sz w:val="24"/>
          <w:szCs w:val="24"/>
        </w:rPr>
        <w:t>не предусмотрены.</w:t>
      </w:r>
    </w:p>
    <w:p w:rsidR="00F02FDF" w:rsidRPr="00BD03F1" w:rsidRDefault="00F02FDF" w:rsidP="00F02FDF">
      <w:pPr>
        <w:pStyle w:val="ad"/>
        <w:tabs>
          <w:tab w:val="left" w:pos="0"/>
        </w:tabs>
        <w:spacing w:after="0" w:line="240" w:lineRule="auto"/>
        <w:ind w:left="0" w:firstLine="709"/>
        <w:jc w:val="both"/>
        <w:rPr>
          <w:rFonts w:ascii="Times New Roman" w:hAnsi="Times New Roman"/>
          <w:sz w:val="24"/>
          <w:szCs w:val="24"/>
        </w:rPr>
      </w:pPr>
      <w:r w:rsidRPr="00BD03F1">
        <w:rPr>
          <w:rFonts w:ascii="Times New Roman" w:hAnsi="Times New Roman"/>
          <w:sz w:val="24"/>
          <w:szCs w:val="24"/>
        </w:rPr>
        <w:t xml:space="preserve">Кроме того, по данным учета ГКУ Амурской области «Строитель» по состоянию на 01.01.2014 числятся незавершенные строительством объекты: с 2009 года - объект «Реконструкция инженерных сетей </w:t>
      </w:r>
      <w:r w:rsidR="00094E43" w:rsidRPr="00BD03F1">
        <w:rPr>
          <w:rFonts w:ascii="Times New Roman" w:hAnsi="Times New Roman"/>
          <w:sz w:val="24"/>
          <w:szCs w:val="24"/>
        </w:rPr>
        <w:t>п. Новобурейский</w:t>
      </w:r>
      <w:r w:rsidRPr="00BD03F1">
        <w:rPr>
          <w:rFonts w:ascii="Times New Roman" w:hAnsi="Times New Roman"/>
          <w:sz w:val="24"/>
          <w:szCs w:val="24"/>
        </w:rPr>
        <w:t xml:space="preserve"> (2 очередь)»: объем затрат </w:t>
      </w:r>
      <w:r>
        <w:rPr>
          <w:rFonts w:ascii="Times New Roman" w:hAnsi="Times New Roman"/>
          <w:sz w:val="24"/>
          <w:szCs w:val="24"/>
        </w:rPr>
        <w:br/>
      </w:r>
      <w:r w:rsidRPr="00BD03F1">
        <w:rPr>
          <w:rFonts w:ascii="Times New Roman" w:hAnsi="Times New Roman"/>
          <w:sz w:val="24"/>
          <w:szCs w:val="24"/>
        </w:rPr>
        <w:t>13926,0 тыс. рублей, техническая готовность объекта – 34,6 процента</w:t>
      </w:r>
      <w:r>
        <w:rPr>
          <w:rFonts w:ascii="Times New Roman" w:hAnsi="Times New Roman"/>
          <w:sz w:val="24"/>
          <w:szCs w:val="24"/>
        </w:rPr>
        <w:t>;</w:t>
      </w:r>
      <w:r w:rsidRPr="00BD03F1">
        <w:rPr>
          <w:rFonts w:ascii="Times New Roman" w:hAnsi="Times New Roman"/>
          <w:sz w:val="24"/>
          <w:szCs w:val="24"/>
        </w:rPr>
        <w:t xml:space="preserve"> с 2010 года -</w:t>
      </w:r>
      <w:r w:rsidR="004727C4">
        <w:rPr>
          <w:rFonts w:ascii="Times New Roman" w:hAnsi="Times New Roman"/>
          <w:sz w:val="24"/>
          <w:szCs w:val="24"/>
        </w:rPr>
        <w:t xml:space="preserve"> </w:t>
      </w:r>
      <w:r w:rsidRPr="00BD03F1">
        <w:rPr>
          <w:rFonts w:ascii="Times New Roman" w:hAnsi="Times New Roman"/>
          <w:sz w:val="24"/>
          <w:szCs w:val="24"/>
        </w:rPr>
        <w:t>объекты «Инженерная защита территорий п. Новобурейский»: объем затрат 132032,8 тыс. рублей, техническая готовность объекта – 51,4 процента; «</w:t>
      </w:r>
      <w:r>
        <w:rPr>
          <w:rFonts w:ascii="Times New Roman" w:hAnsi="Times New Roman"/>
          <w:sz w:val="24"/>
          <w:szCs w:val="24"/>
        </w:rPr>
        <w:t xml:space="preserve">Инженерная защита территорий </w:t>
      </w:r>
      <w:r w:rsidR="00094E43">
        <w:rPr>
          <w:rFonts w:ascii="Times New Roman" w:hAnsi="Times New Roman"/>
          <w:sz w:val="24"/>
          <w:szCs w:val="24"/>
        </w:rPr>
        <w:t>с.</w:t>
      </w:r>
      <w:r w:rsidR="00094E43" w:rsidRPr="00BD03F1">
        <w:rPr>
          <w:rFonts w:ascii="Times New Roman" w:hAnsi="Times New Roman"/>
          <w:sz w:val="24"/>
          <w:szCs w:val="24"/>
        </w:rPr>
        <w:t xml:space="preserve"> Малиновка</w:t>
      </w:r>
      <w:r w:rsidRPr="00BD03F1">
        <w:rPr>
          <w:rFonts w:ascii="Times New Roman" w:hAnsi="Times New Roman"/>
          <w:sz w:val="24"/>
          <w:szCs w:val="24"/>
        </w:rPr>
        <w:t xml:space="preserve">»: объем затрат 19343,5 тыс. рублей, техническая готовность объекта – </w:t>
      </w:r>
      <w:r w:rsidRPr="00BD03F1">
        <w:rPr>
          <w:rFonts w:ascii="Times New Roman" w:hAnsi="Times New Roman"/>
          <w:sz w:val="24"/>
          <w:szCs w:val="24"/>
        </w:rPr>
        <w:br/>
        <w:t xml:space="preserve">41,4 процента. Финансирование строительства объектов осуществлялось за счет </w:t>
      </w:r>
      <w:r w:rsidRPr="00BD03F1">
        <w:rPr>
          <w:rFonts w:ascii="Times New Roman" w:hAnsi="Times New Roman"/>
          <w:sz w:val="24"/>
          <w:szCs w:val="24"/>
        </w:rPr>
        <w:lastRenderedPageBreak/>
        <w:t xml:space="preserve">государственных капитальных вложений, выделенных на реализацию Федеральной адресной инвестиционной программы в рамках непрограммной части, федеральных целевых программ «Энергоэффективная экономика на 2002-2005 годы и на период до 2010 года», «Экономическое и социальное развитие Дальнего Востока и Забайкалья на период </w:t>
      </w:r>
      <w:r>
        <w:rPr>
          <w:rFonts w:ascii="Times New Roman" w:hAnsi="Times New Roman"/>
          <w:sz w:val="24"/>
          <w:szCs w:val="24"/>
        </w:rPr>
        <w:br/>
      </w:r>
      <w:r w:rsidRPr="00BD03F1">
        <w:rPr>
          <w:rFonts w:ascii="Times New Roman" w:hAnsi="Times New Roman"/>
          <w:sz w:val="24"/>
          <w:szCs w:val="24"/>
        </w:rPr>
        <w:t>до 2013 года». Государственными программами Амурской области мероприятия по завершению строительства объектов на период 2014-2020 годы не предусмотрены.</w:t>
      </w:r>
    </w:p>
    <w:p w:rsidR="00F02FDF" w:rsidRDefault="00F02FDF" w:rsidP="00F02FDF">
      <w:pPr>
        <w:pStyle w:val="ad"/>
        <w:tabs>
          <w:tab w:val="left" w:pos="0"/>
        </w:tabs>
        <w:spacing w:after="0" w:line="240" w:lineRule="auto"/>
        <w:ind w:left="0" w:firstLine="709"/>
        <w:jc w:val="both"/>
        <w:rPr>
          <w:rFonts w:ascii="Times New Roman" w:hAnsi="Times New Roman"/>
          <w:sz w:val="24"/>
          <w:szCs w:val="24"/>
        </w:rPr>
      </w:pPr>
      <w:r w:rsidRPr="00BD03F1">
        <w:rPr>
          <w:rFonts w:ascii="Times New Roman" w:hAnsi="Times New Roman"/>
          <w:sz w:val="24"/>
          <w:szCs w:val="24"/>
        </w:rPr>
        <w:t>Отсутствие решений о выделении средств на завершение строительства объектов не обеспечивает соблюдение принципа эффективности использования бюджетных средств, предусмотренного статьей 34 Бюджетного кодекса Российской Федерации, не позволяет обеспечить достижение заданных результатов и может привести к риску неэффективного расходования бюджетных средств, использованных на оплату работ по незавершенным строительством объектам.</w:t>
      </w:r>
    </w:p>
    <w:p w:rsidR="00F02FDF" w:rsidRPr="002345AB" w:rsidRDefault="00F02FDF" w:rsidP="00F02F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Кроме того, с</w:t>
      </w:r>
      <w:r w:rsidRPr="002345AB">
        <w:rPr>
          <w:rFonts w:ascii="Times New Roman" w:hAnsi="Times New Roman"/>
          <w:sz w:val="24"/>
          <w:szCs w:val="24"/>
        </w:rPr>
        <w:t xml:space="preserve">огласно </w:t>
      </w:r>
      <w:hyperlink r:id="rId31" w:history="1">
        <w:r w:rsidRPr="002345AB">
          <w:rPr>
            <w:rFonts w:ascii="Times New Roman" w:hAnsi="Times New Roman"/>
            <w:sz w:val="24"/>
            <w:szCs w:val="24"/>
          </w:rPr>
          <w:t>ч. 4 статьи 52</w:t>
        </w:r>
      </w:hyperlink>
      <w:r w:rsidRPr="002345AB">
        <w:rPr>
          <w:rFonts w:ascii="Times New Roman" w:hAnsi="Times New Roman"/>
          <w:sz w:val="24"/>
          <w:szCs w:val="24"/>
        </w:rPr>
        <w:t xml:space="preserve"> Градостроительного кодекса Российской Федерации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В соответствии со </w:t>
      </w:r>
      <w:hyperlink r:id="rId32" w:history="1">
        <w:r w:rsidRPr="002345AB">
          <w:rPr>
            <w:rFonts w:ascii="Times New Roman" w:hAnsi="Times New Roman"/>
            <w:sz w:val="24"/>
            <w:szCs w:val="24"/>
          </w:rPr>
          <w:t>статьей 752</w:t>
        </w:r>
      </w:hyperlink>
      <w:r w:rsidRPr="002345AB">
        <w:rPr>
          <w:rFonts w:ascii="Times New Roman" w:hAnsi="Times New Roman"/>
          <w:sz w:val="24"/>
          <w:szCs w:val="24"/>
        </w:rPr>
        <w:t xml:space="preserve"> Гражданского кодекса Российской Федерации,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 Таким образом, отсутстви</w:t>
      </w:r>
      <w:r>
        <w:rPr>
          <w:rFonts w:ascii="Times New Roman" w:hAnsi="Times New Roman"/>
          <w:sz w:val="24"/>
          <w:szCs w:val="24"/>
        </w:rPr>
        <w:t>е</w:t>
      </w:r>
      <w:r w:rsidRPr="002345AB">
        <w:rPr>
          <w:rFonts w:ascii="Times New Roman" w:hAnsi="Times New Roman"/>
          <w:sz w:val="24"/>
          <w:szCs w:val="24"/>
        </w:rPr>
        <w:t xml:space="preserve"> решений о выделении средств на финансирование начатых строительством объектов </w:t>
      </w:r>
      <w:r>
        <w:rPr>
          <w:rFonts w:ascii="Times New Roman" w:hAnsi="Times New Roman"/>
          <w:sz w:val="24"/>
          <w:szCs w:val="24"/>
        </w:rPr>
        <w:t xml:space="preserve">ведет к </w:t>
      </w:r>
      <w:r w:rsidRPr="002345AB">
        <w:rPr>
          <w:rFonts w:ascii="Times New Roman" w:hAnsi="Times New Roman"/>
          <w:sz w:val="24"/>
          <w:szCs w:val="24"/>
        </w:rPr>
        <w:t>возник</w:t>
      </w:r>
      <w:r>
        <w:rPr>
          <w:rFonts w:ascii="Times New Roman" w:hAnsi="Times New Roman"/>
          <w:sz w:val="24"/>
          <w:szCs w:val="24"/>
        </w:rPr>
        <w:t>новению</w:t>
      </w:r>
      <w:r w:rsidRPr="002345AB">
        <w:rPr>
          <w:rFonts w:ascii="Times New Roman" w:hAnsi="Times New Roman"/>
          <w:sz w:val="24"/>
          <w:szCs w:val="24"/>
        </w:rPr>
        <w:t xml:space="preserve"> риск</w:t>
      </w:r>
      <w:r>
        <w:rPr>
          <w:rFonts w:ascii="Times New Roman" w:hAnsi="Times New Roman"/>
          <w:sz w:val="24"/>
          <w:szCs w:val="24"/>
        </w:rPr>
        <w:t>ов</w:t>
      </w:r>
      <w:r w:rsidRPr="002345AB">
        <w:rPr>
          <w:rFonts w:ascii="Times New Roman" w:hAnsi="Times New Roman"/>
          <w:sz w:val="24"/>
          <w:szCs w:val="24"/>
        </w:rPr>
        <w:t>, связанны</w:t>
      </w:r>
      <w:r>
        <w:rPr>
          <w:rFonts w:ascii="Times New Roman" w:hAnsi="Times New Roman"/>
          <w:sz w:val="24"/>
          <w:szCs w:val="24"/>
        </w:rPr>
        <w:t>х</w:t>
      </w:r>
      <w:r w:rsidRPr="002345AB">
        <w:rPr>
          <w:rFonts w:ascii="Times New Roman" w:hAnsi="Times New Roman"/>
          <w:sz w:val="24"/>
          <w:szCs w:val="24"/>
        </w:rPr>
        <w:t xml:space="preserve"> с дополнительными расходами по консервации объектов.</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К</w:t>
      </w:r>
      <w:r w:rsidRPr="00832590">
        <w:rPr>
          <w:rFonts w:ascii="Times New Roman" w:hAnsi="Times New Roman"/>
          <w:bCs/>
          <w:iCs/>
          <w:sz w:val="24"/>
          <w:szCs w:val="24"/>
        </w:rPr>
        <w:t>онтрольно-счетная палата Амурской области отмечает отсутствие в законопроекте об областном бюджете на 201</w:t>
      </w:r>
      <w:r>
        <w:rPr>
          <w:rFonts w:ascii="Times New Roman" w:hAnsi="Times New Roman"/>
          <w:bCs/>
          <w:iCs/>
          <w:sz w:val="24"/>
          <w:szCs w:val="24"/>
        </w:rPr>
        <w:t>5</w:t>
      </w:r>
      <w:r w:rsidRPr="00832590">
        <w:rPr>
          <w:rFonts w:ascii="Times New Roman" w:hAnsi="Times New Roman"/>
          <w:bCs/>
          <w:iCs/>
          <w:sz w:val="24"/>
          <w:szCs w:val="24"/>
        </w:rPr>
        <w:t xml:space="preserve"> год и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 расходов на финансирование строительства объектов, по которым подготовлена и оплачена за счет средств областного бюджета проектно-сметная документация. </w:t>
      </w:r>
      <w:r>
        <w:rPr>
          <w:rFonts w:ascii="Times New Roman" w:hAnsi="Times New Roman"/>
          <w:sz w:val="24"/>
          <w:szCs w:val="24"/>
        </w:rPr>
        <w:t xml:space="preserve">Согласно данным учета </w:t>
      </w:r>
      <w:r>
        <w:rPr>
          <w:rFonts w:ascii="Times New Roman" w:hAnsi="Times New Roman"/>
          <w:sz w:val="24"/>
          <w:szCs w:val="24"/>
        </w:rPr>
        <w:br/>
        <w:t xml:space="preserve">ГКУ Амурской области «Строитель» по состоянию на 01.01.2014 объем расходов на подготовку проектной документации по 45 объектам, строительство которых не начато и расходами областного бюджета на период 2015-2017 годов не предусмотрено, составляет 60519,2 тыс. рублей. </w:t>
      </w:r>
      <w:r w:rsidRPr="00832590">
        <w:rPr>
          <w:rFonts w:ascii="Times New Roman" w:hAnsi="Times New Roman"/>
          <w:bCs/>
          <w:iCs/>
          <w:sz w:val="24"/>
          <w:szCs w:val="24"/>
        </w:rPr>
        <w:t xml:space="preserve">Невостребованность проектно-сметной документации </w:t>
      </w:r>
      <w:r>
        <w:rPr>
          <w:rFonts w:ascii="Times New Roman" w:hAnsi="Times New Roman"/>
          <w:bCs/>
          <w:iCs/>
          <w:sz w:val="24"/>
          <w:szCs w:val="24"/>
        </w:rPr>
        <w:t>предопределяет</w:t>
      </w:r>
      <w:r w:rsidRPr="00832590">
        <w:rPr>
          <w:rFonts w:ascii="Times New Roman" w:hAnsi="Times New Roman"/>
          <w:bCs/>
          <w:iCs/>
          <w:sz w:val="24"/>
          <w:szCs w:val="24"/>
        </w:rPr>
        <w:t xml:space="preserve"> списани</w:t>
      </w:r>
      <w:r>
        <w:rPr>
          <w:rFonts w:ascii="Times New Roman" w:hAnsi="Times New Roman"/>
          <w:bCs/>
          <w:iCs/>
          <w:sz w:val="24"/>
          <w:szCs w:val="24"/>
        </w:rPr>
        <w:t>е понесенных за счет средств областного бюджета</w:t>
      </w:r>
      <w:r w:rsidRPr="00832590">
        <w:rPr>
          <w:rFonts w:ascii="Times New Roman" w:hAnsi="Times New Roman"/>
          <w:bCs/>
          <w:iCs/>
          <w:sz w:val="24"/>
          <w:szCs w:val="24"/>
        </w:rPr>
        <w:t xml:space="preserve"> затрат в соответствии с «Положением о порядке списания затрат по объектам незавершенного строительства, финансирование которых осуществлялось за счет средств областного бюджета», утвержденным Постановлением Правительства Амурской области от 15.11.2012 № 641, и соответственно</w:t>
      </w:r>
      <w:r>
        <w:rPr>
          <w:rFonts w:ascii="Times New Roman" w:hAnsi="Times New Roman"/>
          <w:bCs/>
          <w:iCs/>
          <w:sz w:val="24"/>
          <w:szCs w:val="24"/>
        </w:rPr>
        <w:t xml:space="preserve"> приводит к</w:t>
      </w:r>
      <w:r w:rsidRPr="00832590">
        <w:rPr>
          <w:rFonts w:ascii="Times New Roman" w:hAnsi="Times New Roman"/>
          <w:bCs/>
          <w:iCs/>
          <w:sz w:val="24"/>
          <w:szCs w:val="24"/>
        </w:rPr>
        <w:t xml:space="preserve"> несоблюдени</w:t>
      </w:r>
      <w:r>
        <w:rPr>
          <w:rFonts w:ascii="Times New Roman" w:hAnsi="Times New Roman"/>
          <w:bCs/>
          <w:iCs/>
          <w:sz w:val="24"/>
          <w:szCs w:val="24"/>
        </w:rPr>
        <w:t>ю</w:t>
      </w:r>
      <w:r w:rsidRPr="00832590">
        <w:rPr>
          <w:rFonts w:ascii="Times New Roman" w:hAnsi="Times New Roman"/>
          <w:bCs/>
          <w:iCs/>
          <w:sz w:val="24"/>
          <w:szCs w:val="24"/>
        </w:rPr>
        <w:t xml:space="preserve"> принципа эффективности использования бюджетных средств.</w:t>
      </w:r>
    </w:p>
    <w:p w:rsidR="00F02FDF" w:rsidRPr="00C76199" w:rsidRDefault="00F02FDF" w:rsidP="00F02FDF">
      <w:pPr>
        <w:widowControl w:val="0"/>
        <w:tabs>
          <w:tab w:val="left" w:pos="540"/>
        </w:tabs>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Наличие значительных объемов незавершенного строительства, не обеспеченного финансированием, а также значительного количества невостребованной проектно-сметной документации свидетельствует о необходимости </w:t>
      </w:r>
      <w:r w:rsidRPr="00C76199">
        <w:rPr>
          <w:rFonts w:ascii="Times New Roman" w:hAnsi="Times New Roman"/>
          <w:sz w:val="24"/>
        </w:rPr>
        <w:t>повышени</w:t>
      </w:r>
      <w:r>
        <w:rPr>
          <w:rFonts w:ascii="Times New Roman" w:hAnsi="Times New Roman"/>
          <w:sz w:val="24"/>
        </w:rPr>
        <w:t>я</w:t>
      </w:r>
      <w:r w:rsidRPr="00C76199">
        <w:rPr>
          <w:rFonts w:ascii="Times New Roman" w:hAnsi="Times New Roman"/>
          <w:sz w:val="24"/>
        </w:rPr>
        <w:t xml:space="preserve"> качества планирования расходов по мероприятиям государственных программ, предусматривающи</w:t>
      </w:r>
      <w:r>
        <w:rPr>
          <w:rFonts w:ascii="Times New Roman" w:hAnsi="Times New Roman"/>
          <w:sz w:val="24"/>
        </w:rPr>
        <w:t xml:space="preserve">м </w:t>
      </w:r>
      <w:r w:rsidRPr="00C76199">
        <w:rPr>
          <w:rFonts w:ascii="Times New Roman" w:hAnsi="Times New Roman"/>
          <w:sz w:val="24"/>
        </w:rPr>
        <w:t xml:space="preserve">бюджетные инвестиции в объекты капитального строительства, в том числе </w:t>
      </w:r>
      <w:r w:rsidRPr="00C76199">
        <w:rPr>
          <w:rFonts w:ascii="Times New Roman" w:hAnsi="Times New Roman"/>
          <w:sz w:val="24"/>
          <w:szCs w:val="24"/>
        </w:rPr>
        <w:t>обязательно</w:t>
      </w:r>
      <w:r>
        <w:rPr>
          <w:rFonts w:ascii="Times New Roman" w:hAnsi="Times New Roman"/>
          <w:sz w:val="24"/>
          <w:szCs w:val="24"/>
        </w:rPr>
        <w:t>го рассмотрения наличия ресурсного обеспечения, реальных</w:t>
      </w:r>
      <w:r w:rsidRPr="00C76199">
        <w:rPr>
          <w:rFonts w:ascii="Times New Roman" w:hAnsi="Times New Roman"/>
          <w:sz w:val="24"/>
          <w:szCs w:val="24"/>
        </w:rPr>
        <w:t xml:space="preserve"> возможност</w:t>
      </w:r>
      <w:r>
        <w:rPr>
          <w:rFonts w:ascii="Times New Roman" w:hAnsi="Times New Roman"/>
          <w:sz w:val="24"/>
          <w:szCs w:val="24"/>
        </w:rPr>
        <w:t>ей</w:t>
      </w:r>
      <w:r w:rsidR="001D648B">
        <w:rPr>
          <w:rFonts w:ascii="Times New Roman" w:hAnsi="Times New Roman"/>
          <w:sz w:val="24"/>
          <w:szCs w:val="24"/>
        </w:rPr>
        <w:t xml:space="preserve"> и перспектив строительства.</w:t>
      </w:r>
    </w:p>
    <w:p w:rsidR="00F02FDF" w:rsidRPr="00BD03F1" w:rsidRDefault="00F02FDF" w:rsidP="00F02FDF">
      <w:pPr>
        <w:pStyle w:val="ad"/>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К</w:t>
      </w:r>
      <w:r w:rsidRPr="00BD03F1">
        <w:rPr>
          <w:rFonts w:ascii="Times New Roman" w:hAnsi="Times New Roman"/>
          <w:sz w:val="24"/>
          <w:szCs w:val="24"/>
        </w:rPr>
        <w:t xml:space="preserve">онтрольно-счетная палата отмечает, что в отсутствие предусмотренных расходов на завершение строительством ранее начатых объектов </w:t>
      </w:r>
      <w:r>
        <w:rPr>
          <w:rFonts w:ascii="Times New Roman" w:hAnsi="Times New Roman"/>
          <w:sz w:val="24"/>
          <w:szCs w:val="24"/>
        </w:rPr>
        <w:t xml:space="preserve">расходами </w:t>
      </w:r>
      <w:r w:rsidRPr="00BD03F1">
        <w:rPr>
          <w:rFonts w:ascii="Times New Roman" w:hAnsi="Times New Roman"/>
          <w:sz w:val="24"/>
          <w:szCs w:val="24"/>
        </w:rPr>
        <w:t>областн</w:t>
      </w:r>
      <w:r>
        <w:rPr>
          <w:rFonts w:ascii="Times New Roman" w:hAnsi="Times New Roman"/>
          <w:sz w:val="24"/>
          <w:szCs w:val="24"/>
        </w:rPr>
        <w:t>ого</w:t>
      </w:r>
      <w:r w:rsidRPr="00BD03F1">
        <w:rPr>
          <w:rFonts w:ascii="Times New Roman" w:hAnsi="Times New Roman"/>
          <w:sz w:val="24"/>
          <w:szCs w:val="24"/>
        </w:rPr>
        <w:t xml:space="preserve"> бюджет</w:t>
      </w:r>
      <w:r>
        <w:rPr>
          <w:rFonts w:ascii="Times New Roman" w:hAnsi="Times New Roman"/>
          <w:sz w:val="24"/>
          <w:szCs w:val="24"/>
        </w:rPr>
        <w:t>а</w:t>
      </w:r>
      <w:r>
        <w:rPr>
          <w:rFonts w:ascii="Times New Roman" w:hAnsi="Times New Roman"/>
          <w:sz w:val="24"/>
          <w:szCs w:val="24"/>
        </w:rPr>
        <w:br/>
      </w:r>
      <w:r w:rsidRPr="00BD03F1">
        <w:rPr>
          <w:rFonts w:ascii="Times New Roman" w:hAnsi="Times New Roman"/>
          <w:sz w:val="24"/>
          <w:szCs w:val="24"/>
        </w:rPr>
        <w:t>на 2015-2017 годы предусм</w:t>
      </w:r>
      <w:r>
        <w:rPr>
          <w:rFonts w:ascii="Times New Roman" w:hAnsi="Times New Roman"/>
          <w:sz w:val="24"/>
          <w:szCs w:val="24"/>
        </w:rPr>
        <w:t>атривается</w:t>
      </w:r>
      <w:r w:rsidRPr="00BD03F1">
        <w:rPr>
          <w:rFonts w:ascii="Times New Roman" w:hAnsi="Times New Roman"/>
          <w:sz w:val="24"/>
          <w:szCs w:val="24"/>
        </w:rPr>
        <w:t xml:space="preserve"> выделение средств на капита</w:t>
      </w:r>
      <w:r w:rsidR="001D648B">
        <w:rPr>
          <w:rFonts w:ascii="Times New Roman" w:hAnsi="Times New Roman"/>
          <w:sz w:val="24"/>
          <w:szCs w:val="24"/>
        </w:rPr>
        <w:t>льные вложения в новые объекты.</w:t>
      </w:r>
    </w:p>
    <w:p w:rsidR="00F02FDF" w:rsidRDefault="00F02FDF" w:rsidP="00F02FDF">
      <w:pPr>
        <w:pStyle w:val="ad"/>
        <w:tabs>
          <w:tab w:val="left" w:pos="0"/>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xml:space="preserve">Так, </w:t>
      </w:r>
      <w:r w:rsidRPr="000B34E5">
        <w:rPr>
          <w:rFonts w:ascii="Times New Roman" w:hAnsi="Times New Roman"/>
          <w:bCs/>
          <w:iCs/>
          <w:sz w:val="24"/>
          <w:szCs w:val="24"/>
        </w:rPr>
        <w:t xml:space="preserve">министерству строительства и архитектуры в рамках </w:t>
      </w:r>
      <w:r>
        <w:rPr>
          <w:rFonts w:ascii="Times New Roman" w:hAnsi="Times New Roman"/>
          <w:bCs/>
          <w:iCs/>
          <w:sz w:val="24"/>
          <w:szCs w:val="24"/>
        </w:rPr>
        <w:t xml:space="preserve">подпрограммы «Семья детям»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ы</w:t>
      </w:r>
      <w:r w:rsidRPr="000B34E5">
        <w:rPr>
          <w:rFonts w:ascii="Times New Roman" w:hAnsi="Times New Roman"/>
          <w:bCs/>
          <w:iCs/>
          <w:sz w:val="24"/>
          <w:szCs w:val="24"/>
        </w:rPr>
        <w:t xml:space="preserve"> «Обеспечение доступным и качественным жильем населения Амурской области на 2014-2020 годы»</w:t>
      </w:r>
      <w:r>
        <w:rPr>
          <w:rFonts w:ascii="Times New Roman" w:hAnsi="Times New Roman"/>
          <w:bCs/>
          <w:iCs/>
          <w:sz w:val="24"/>
          <w:szCs w:val="24"/>
        </w:rPr>
        <w:t xml:space="preserve"> предусмотрено выделение бюджетных ассигнований на строительство новых жилых домов для предоставления семьям, готовым взять на воспитание 5 и более детей-сирот и (или) детей, оставшихся без попечения родителей на 2015 -2017 годы в объеме 126349,0 тыс. рублей.</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lastRenderedPageBreak/>
        <w:t>Проведенны</w:t>
      </w:r>
      <w:r>
        <w:rPr>
          <w:rFonts w:ascii="Times New Roman" w:hAnsi="Times New Roman"/>
          <w:bCs/>
          <w:iCs/>
          <w:sz w:val="24"/>
          <w:szCs w:val="24"/>
        </w:rPr>
        <w:t>м</w:t>
      </w:r>
      <w:r w:rsidRPr="00832590">
        <w:rPr>
          <w:rFonts w:ascii="Times New Roman" w:hAnsi="Times New Roman"/>
          <w:bCs/>
          <w:iCs/>
          <w:sz w:val="24"/>
          <w:szCs w:val="24"/>
        </w:rPr>
        <w:t xml:space="preserve"> анализ</w:t>
      </w:r>
      <w:r>
        <w:rPr>
          <w:rFonts w:ascii="Times New Roman" w:hAnsi="Times New Roman"/>
          <w:bCs/>
          <w:iCs/>
          <w:sz w:val="24"/>
          <w:szCs w:val="24"/>
        </w:rPr>
        <w:t xml:space="preserve">ом подпрограммы «Семья детям»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ы</w:t>
      </w:r>
      <w:r w:rsidRPr="000B34E5">
        <w:rPr>
          <w:rFonts w:ascii="Times New Roman" w:hAnsi="Times New Roman"/>
          <w:bCs/>
          <w:iCs/>
          <w:sz w:val="24"/>
          <w:szCs w:val="24"/>
        </w:rPr>
        <w:t xml:space="preserve"> «Обеспечение доступным и качественным жильем населения Амурской области на </w:t>
      </w:r>
      <w:r>
        <w:rPr>
          <w:rFonts w:ascii="Times New Roman" w:hAnsi="Times New Roman"/>
          <w:bCs/>
          <w:iCs/>
          <w:sz w:val="24"/>
          <w:szCs w:val="24"/>
        </w:rPr>
        <w:br/>
      </w:r>
      <w:r w:rsidRPr="000B34E5">
        <w:rPr>
          <w:rFonts w:ascii="Times New Roman" w:hAnsi="Times New Roman"/>
          <w:bCs/>
          <w:iCs/>
          <w:sz w:val="24"/>
          <w:szCs w:val="24"/>
        </w:rPr>
        <w:t>2014-2020 годы»</w:t>
      </w:r>
      <w:r w:rsidRPr="00832590">
        <w:rPr>
          <w:rFonts w:ascii="Times New Roman" w:hAnsi="Times New Roman"/>
          <w:bCs/>
          <w:iCs/>
          <w:sz w:val="24"/>
          <w:szCs w:val="24"/>
        </w:rPr>
        <w:t xml:space="preserve"> в части основных мероприятий, предусматривающих капитальные вложения в объекты государственной собственности, </w:t>
      </w:r>
      <w:r>
        <w:rPr>
          <w:rFonts w:ascii="Times New Roman" w:hAnsi="Times New Roman"/>
          <w:bCs/>
          <w:iCs/>
          <w:sz w:val="24"/>
          <w:szCs w:val="24"/>
        </w:rPr>
        <w:t>установлено</w:t>
      </w:r>
      <w:r w:rsidRPr="00832590">
        <w:rPr>
          <w:rFonts w:ascii="Times New Roman" w:hAnsi="Times New Roman"/>
          <w:bCs/>
          <w:iCs/>
          <w:sz w:val="24"/>
          <w:szCs w:val="24"/>
        </w:rPr>
        <w:t xml:space="preserve">, что </w:t>
      </w:r>
      <w:r>
        <w:rPr>
          <w:rFonts w:ascii="Times New Roman" w:hAnsi="Times New Roman"/>
          <w:bCs/>
          <w:iCs/>
          <w:sz w:val="24"/>
          <w:szCs w:val="24"/>
        </w:rPr>
        <w:t>мероприятия под</w:t>
      </w:r>
      <w:r w:rsidRPr="00832590">
        <w:rPr>
          <w:rFonts w:ascii="Times New Roman" w:hAnsi="Times New Roman"/>
          <w:bCs/>
          <w:iCs/>
          <w:sz w:val="24"/>
          <w:szCs w:val="24"/>
        </w:rPr>
        <w:t>программ</w:t>
      </w:r>
      <w:r>
        <w:rPr>
          <w:rFonts w:ascii="Times New Roman" w:hAnsi="Times New Roman"/>
          <w:bCs/>
          <w:iCs/>
          <w:sz w:val="24"/>
          <w:szCs w:val="24"/>
        </w:rPr>
        <w:t>ы</w:t>
      </w:r>
      <w:r w:rsidRPr="00832590">
        <w:rPr>
          <w:rFonts w:ascii="Times New Roman" w:hAnsi="Times New Roman"/>
          <w:bCs/>
          <w:iCs/>
          <w:sz w:val="24"/>
          <w:szCs w:val="24"/>
        </w:rPr>
        <w:t xml:space="preserve"> не увязаны с </w:t>
      </w:r>
      <w:r>
        <w:rPr>
          <w:rFonts w:ascii="Times New Roman" w:hAnsi="Times New Roman"/>
          <w:bCs/>
          <w:iCs/>
          <w:sz w:val="24"/>
          <w:szCs w:val="24"/>
        </w:rPr>
        <w:t xml:space="preserve">ожидаемыми конечными показателями подпрограммы. </w:t>
      </w:r>
      <w:r>
        <w:rPr>
          <w:rFonts w:ascii="Times New Roman" w:hAnsi="Times New Roman"/>
          <w:bCs/>
          <w:iCs/>
          <w:sz w:val="24"/>
          <w:szCs w:val="24"/>
        </w:rPr>
        <w:br/>
        <w:t xml:space="preserve">Так, согласно утвержденной постановлением Правительства Амурской области от 25.09.2013 № 446 (в редакции постановления Правительства Амурской области от 25.09.2014 № 582)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ы</w:t>
      </w:r>
      <w:r w:rsidRPr="000B34E5">
        <w:rPr>
          <w:rFonts w:ascii="Times New Roman" w:hAnsi="Times New Roman"/>
          <w:bCs/>
          <w:iCs/>
          <w:sz w:val="24"/>
          <w:szCs w:val="24"/>
        </w:rPr>
        <w:t xml:space="preserve"> «Обеспечение доступным и качественным жильем населения Амурской области на 2014-2020 годы»</w:t>
      </w:r>
      <w:r>
        <w:rPr>
          <w:rFonts w:ascii="Times New Roman" w:hAnsi="Times New Roman"/>
          <w:bCs/>
          <w:iCs/>
          <w:sz w:val="24"/>
          <w:szCs w:val="24"/>
        </w:rPr>
        <w:t xml:space="preserve"> в рамках реализации основного мероприятия «Капитальные вложения в объекты государственной собственности» подпрограммы «Семья детям» с целью формирования специализированного жилищного фонда предполагается строительство жилых домов площадью 126 квадратных метров и 162 квадратных метра для предоставления семьям, готовым взять на воспитание 5 и более детей-сирот и (или) детей, оставшихся без попечения родителей. Кроме того, в рамках мероприятия предполагается реконструкция зданий действующих на территории области детских домов для создания на их базе жилых помещений квартирного типа для проживания замещающих семей, готовых взять на воспитание 5 и более детей-сирот и (или) детей, оставшихся без попечения родителей, с созданием в них условий, приближенных к семейным. Системой программных мероприятий и плановых показателей реализации программы предусмотрено сокращение количества государственных учреждений для детей-сирот и детей, оставшихся без попечения родителей, с 15 в 2014 году до 9 учреждений в 2020, по одному учреждению в течение </w:t>
      </w:r>
      <w:r>
        <w:rPr>
          <w:rFonts w:ascii="Times New Roman" w:hAnsi="Times New Roman"/>
          <w:bCs/>
          <w:iCs/>
          <w:sz w:val="24"/>
          <w:szCs w:val="24"/>
        </w:rPr>
        <w:br/>
        <w:t>2015-2020 годов, или на 40 проценто</w:t>
      </w:r>
      <w:r w:rsidR="005253D8">
        <w:rPr>
          <w:rFonts w:ascii="Times New Roman" w:hAnsi="Times New Roman"/>
          <w:bCs/>
          <w:iCs/>
          <w:sz w:val="24"/>
          <w:szCs w:val="24"/>
        </w:rPr>
        <w:t>в к базисному уровню 2014 года.</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Контрольно-счетная палата области обращает внимание</w:t>
      </w:r>
      <w:r w:rsidR="005253D8">
        <w:rPr>
          <w:rFonts w:ascii="Times New Roman" w:hAnsi="Times New Roman"/>
          <w:bCs/>
          <w:iCs/>
          <w:sz w:val="24"/>
          <w:szCs w:val="24"/>
        </w:rPr>
        <w:t xml:space="preserve"> на то</w:t>
      </w:r>
      <w:r>
        <w:rPr>
          <w:rFonts w:ascii="Times New Roman" w:hAnsi="Times New Roman"/>
          <w:bCs/>
          <w:iCs/>
          <w:sz w:val="24"/>
          <w:szCs w:val="24"/>
        </w:rPr>
        <w:t>, что планируемая реконструкция</w:t>
      </w:r>
      <w:r w:rsidRPr="00096328">
        <w:rPr>
          <w:rFonts w:ascii="Times New Roman" w:hAnsi="Times New Roman"/>
          <w:bCs/>
          <w:iCs/>
          <w:sz w:val="24"/>
          <w:szCs w:val="24"/>
        </w:rPr>
        <w:t xml:space="preserve"> </w:t>
      </w:r>
      <w:r>
        <w:rPr>
          <w:rFonts w:ascii="Times New Roman" w:hAnsi="Times New Roman"/>
          <w:bCs/>
          <w:iCs/>
          <w:sz w:val="24"/>
          <w:szCs w:val="24"/>
        </w:rPr>
        <w:t>зданий действующих на территории области детских домов не включена в Перечень объектов капитального строительства (таблица № 1 раздела 4 подпрограммы «Семья детям»), при этом Системой программных мероприятий и плановых показателей реализации программы (Приложение №2 госпрограммы) установлен показатель – «количество реконструируемых зданий действующих на территории области автономных государственных учреждений для детей-сирот и детей, оставшихся без попечения родителей» (по одному учреждению в 2019 и 2020 годах). Таким образом, м</w:t>
      </w:r>
      <w:r w:rsidRPr="00832590">
        <w:rPr>
          <w:rFonts w:ascii="Times New Roman" w:hAnsi="Times New Roman"/>
          <w:bCs/>
          <w:iCs/>
          <w:sz w:val="24"/>
          <w:szCs w:val="24"/>
        </w:rPr>
        <w:t>ероприяти</w:t>
      </w:r>
      <w:r>
        <w:rPr>
          <w:rFonts w:ascii="Times New Roman" w:hAnsi="Times New Roman"/>
          <w:bCs/>
          <w:iCs/>
          <w:sz w:val="24"/>
          <w:szCs w:val="24"/>
        </w:rPr>
        <w:t>е</w:t>
      </w:r>
      <w:r w:rsidRPr="00832590">
        <w:rPr>
          <w:rFonts w:ascii="Times New Roman" w:hAnsi="Times New Roman"/>
          <w:bCs/>
          <w:iCs/>
          <w:sz w:val="24"/>
          <w:szCs w:val="24"/>
        </w:rPr>
        <w:t xml:space="preserve"> </w:t>
      </w:r>
      <w:r>
        <w:rPr>
          <w:rFonts w:ascii="Times New Roman" w:hAnsi="Times New Roman"/>
          <w:bCs/>
          <w:iCs/>
          <w:sz w:val="24"/>
          <w:szCs w:val="24"/>
        </w:rPr>
        <w:t>в части реконструкции</w:t>
      </w:r>
      <w:r w:rsidRPr="00096328">
        <w:rPr>
          <w:rFonts w:ascii="Times New Roman" w:hAnsi="Times New Roman"/>
          <w:bCs/>
          <w:iCs/>
          <w:sz w:val="24"/>
          <w:szCs w:val="24"/>
        </w:rPr>
        <w:t xml:space="preserve"> </w:t>
      </w:r>
      <w:r>
        <w:rPr>
          <w:rFonts w:ascii="Times New Roman" w:hAnsi="Times New Roman"/>
          <w:bCs/>
          <w:iCs/>
          <w:sz w:val="24"/>
          <w:szCs w:val="24"/>
        </w:rPr>
        <w:t xml:space="preserve">зданий действующих на территории области детских домов </w:t>
      </w:r>
      <w:r w:rsidRPr="00832590">
        <w:rPr>
          <w:rFonts w:ascii="Times New Roman" w:hAnsi="Times New Roman"/>
          <w:bCs/>
          <w:iCs/>
          <w:sz w:val="24"/>
          <w:szCs w:val="24"/>
        </w:rPr>
        <w:t>не увязан</w:t>
      </w:r>
      <w:r>
        <w:rPr>
          <w:rFonts w:ascii="Times New Roman" w:hAnsi="Times New Roman"/>
          <w:bCs/>
          <w:iCs/>
          <w:sz w:val="24"/>
          <w:szCs w:val="24"/>
        </w:rPr>
        <w:t>о</w:t>
      </w:r>
      <w:r w:rsidRPr="00832590">
        <w:rPr>
          <w:rFonts w:ascii="Times New Roman" w:hAnsi="Times New Roman"/>
          <w:bCs/>
          <w:iCs/>
          <w:sz w:val="24"/>
          <w:szCs w:val="24"/>
        </w:rPr>
        <w:t xml:space="preserve"> с показателями </w:t>
      </w:r>
      <w:r>
        <w:rPr>
          <w:rFonts w:ascii="Times New Roman" w:hAnsi="Times New Roman"/>
          <w:bCs/>
          <w:iCs/>
          <w:sz w:val="24"/>
          <w:szCs w:val="24"/>
        </w:rPr>
        <w:t>ресурсного обеспечения реализации государственной программы за счет средств областного бюджета. Контрольно-счетная палата области отмечает, что отсутствие планируемого выделения средств на реконструкцию высвобождающихся зданий детских домов создает риски неэффективного использования объектов государственной собственности Амурской области в части помещений, закрепленных за сокращаемыми государственными учреждениями.</w:t>
      </w:r>
    </w:p>
    <w:p w:rsidR="00F02FDF"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Кроме того, контрольно-счетная палата области отмечает наличие несогласованности отдельных положений подпрограммы «Семья детям», приводящее к недостаткам при планировании расходов областного бюджета. Системой основных мероприятий подпрограммы «Семья детям» предусмотрен механизм, согласно которому строительство жилых домов исполнителем, определенным по результатам конкурсных процедур, осуществляется в течение одного года за счет собственных средств либо привлеченных кредитных ресурсов, в целях возмещения части процентной ставки по которым предусмотрены расходы областного бюджета на 2015 год – 6000,0 тыс. рублей, 2016 год – 9600,0 тыс. рублей, 2017 год – 6000,0 тыс. рублей. Учитывая отсутствие выделенных земельных участков под строительство, отсутствие проектно-сметной документации, а также принимая во внимание необходимость проведения конкурсных процедур и времени непосредственно на строительство жилых домов, по мнению контрольно-счетной палаты Амурской области, предусмотренные программой и законопроектом расходы областного бюджета на строительство жилых домов</w:t>
      </w:r>
      <w:r w:rsidRPr="00B223AB">
        <w:rPr>
          <w:rFonts w:ascii="Times New Roman" w:hAnsi="Times New Roman"/>
          <w:bCs/>
          <w:iCs/>
          <w:sz w:val="24"/>
          <w:szCs w:val="24"/>
        </w:rPr>
        <w:t xml:space="preserve"> </w:t>
      </w:r>
      <w:r>
        <w:rPr>
          <w:rFonts w:ascii="Times New Roman" w:hAnsi="Times New Roman"/>
          <w:bCs/>
          <w:iCs/>
          <w:sz w:val="24"/>
          <w:szCs w:val="24"/>
        </w:rPr>
        <w:t xml:space="preserve">для предоставления семьям, готовым взять на воспитание 5 и более детей-сирот и (или) детей, оставшихся без попечения родителей, на 2015 год в объеме 26941,0 тыс. рублей требуют корректировки и переноса части расходов на </w:t>
      </w:r>
      <w:r>
        <w:rPr>
          <w:rFonts w:ascii="Times New Roman" w:hAnsi="Times New Roman"/>
          <w:bCs/>
          <w:iCs/>
          <w:sz w:val="24"/>
          <w:szCs w:val="24"/>
        </w:rPr>
        <w:lastRenderedPageBreak/>
        <w:t>с</w:t>
      </w:r>
      <w:r w:rsidR="005253D8">
        <w:rPr>
          <w:rFonts w:ascii="Times New Roman" w:hAnsi="Times New Roman"/>
          <w:bCs/>
          <w:iCs/>
          <w:sz w:val="24"/>
          <w:szCs w:val="24"/>
        </w:rPr>
        <w:t>ледующие годы бюджетного цикла.</w:t>
      </w:r>
    </w:p>
    <w:p w:rsidR="00F02FDF" w:rsidRDefault="00F02FDF" w:rsidP="00F02FDF">
      <w:pPr>
        <w:autoSpaceDE w:val="0"/>
        <w:autoSpaceDN w:val="0"/>
        <w:adjustRightInd w:val="0"/>
        <w:spacing w:after="0" w:line="240" w:lineRule="auto"/>
        <w:ind w:firstLine="709"/>
        <w:jc w:val="both"/>
        <w:rPr>
          <w:rFonts w:ascii="Times New Roman" w:hAnsi="Times New Roman"/>
          <w:bCs/>
          <w:iCs/>
          <w:sz w:val="24"/>
          <w:szCs w:val="24"/>
        </w:rPr>
      </w:pPr>
      <w:r w:rsidRPr="00832590">
        <w:rPr>
          <w:rFonts w:ascii="Times New Roman" w:hAnsi="Times New Roman"/>
          <w:bCs/>
          <w:iCs/>
          <w:sz w:val="24"/>
          <w:szCs w:val="24"/>
        </w:rPr>
        <w:t>Проведенны</w:t>
      </w:r>
      <w:r>
        <w:rPr>
          <w:rFonts w:ascii="Times New Roman" w:hAnsi="Times New Roman"/>
          <w:bCs/>
          <w:iCs/>
          <w:sz w:val="24"/>
          <w:szCs w:val="24"/>
        </w:rPr>
        <w:t>м</w:t>
      </w:r>
      <w:r w:rsidRPr="00832590">
        <w:rPr>
          <w:rFonts w:ascii="Times New Roman" w:hAnsi="Times New Roman"/>
          <w:bCs/>
          <w:iCs/>
          <w:sz w:val="24"/>
          <w:szCs w:val="24"/>
        </w:rPr>
        <w:t xml:space="preserve"> анализ</w:t>
      </w:r>
      <w:r>
        <w:rPr>
          <w:rFonts w:ascii="Times New Roman" w:hAnsi="Times New Roman"/>
          <w:bCs/>
          <w:iCs/>
          <w:sz w:val="24"/>
          <w:szCs w:val="24"/>
        </w:rPr>
        <w:t>ом подпрограммы «</w:t>
      </w:r>
      <w:r>
        <w:rPr>
          <w:rFonts w:ascii="Times New Roman" w:hAnsi="Times New Roman"/>
          <w:sz w:val="24"/>
          <w:szCs w:val="24"/>
        </w:rPr>
        <w:t>Развитие инфраструктуры физической культуры, массового спорта и поддержка спорта высших достижений</w:t>
      </w:r>
      <w:r>
        <w:rPr>
          <w:rFonts w:ascii="Times New Roman" w:hAnsi="Times New Roman"/>
          <w:bCs/>
          <w:iCs/>
          <w:sz w:val="24"/>
          <w:szCs w:val="24"/>
        </w:rPr>
        <w:t xml:space="preserve">» </w:t>
      </w:r>
      <w:r w:rsidRPr="000B34E5">
        <w:rPr>
          <w:rFonts w:ascii="Times New Roman" w:hAnsi="Times New Roman"/>
          <w:bCs/>
          <w:iCs/>
          <w:sz w:val="24"/>
          <w:szCs w:val="24"/>
        </w:rPr>
        <w:t>государственн</w:t>
      </w:r>
      <w:r>
        <w:rPr>
          <w:rFonts w:ascii="Times New Roman" w:hAnsi="Times New Roman"/>
          <w:bCs/>
          <w:iCs/>
          <w:sz w:val="24"/>
          <w:szCs w:val="24"/>
        </w:rPr>
        <w:t>ой</w:t>
      </w:r>
      <w:r w:rsidRPr="000B34E5">
        <w:rPr>
          <w:rFonts w:ascii="Times New Roman" w:hAnsi="Times New Roman"/>
          <w:bCs/>
          <w:iCs/>
          <w:sz w:val="24"/>
          <w:szCs w:val="24"/>
        </w:rPr>
        <w:t xml:space="preserve"> программ</w:t>
      </w:r>
      <w:r>
        <w:rPr>
          <w:rFonts w:ascii="Times New Roman" w:hAnsi="Times New Roman"/>
          <w:bCs/>
          <w:iCs/>
          <w:sz w:val="24"/>
          <w:szCs w:val="24"/>
        </w:rPr>
        <w:t>ы</w:t>
      </w:r>
      <w:r w:rsidRPr="000B34E5">
        <w:rPr>
          <w:rFonts w:ascii="Times New Roman" w:hAnsi="Times New Roman"/>
          <w:bCs/>
          <w:iCs/>
          <w:sz w:val="24"/>
          <w:szCs w:val="24"/>
        </w:rPr>
        <w:t xml:space="preserve"> «</w:t>
      </w:r>
      <w:r>
        <w:rPr>
          <w:rFonts w:ascii="Times New Roman" w:hAnsi="Times New Roman"/>
          <w:bCs/>
          <w:iCs/>
          <w:sz w:val="24"/>
          <w:szCs w:val="24"/>
        </w:rPr>
        <w:t>Развитие физической культуры и спорта на территории Амурской области на 2014-2020 годы</w:t>
      </w:r>
      <w:r w:rsidRPr="000B34E5">
        <w:rPr>
          <w:rFonts w:ascii="Times New Roman" w:hAnsi="Times New Roman"/>
          <w:bCs/>
          <w:iCs/>
          <w:sz w:val="24"/>
          <w:szCs w:val="24"/>
        </w:rPr>
        <w:t>»</w:t>
      </w:r>
      <w:r w:rsidRPr="00832590">
        <w:rPr>
          <w:rFonts w:ascii="Times New Roman" w:hAnsi="Times New Roman"/>
          <w:bCs/>
          <w:iCs/>
          <w:sz w:val="24"/>
          <w:szCs w:val="24"/>
        </w:rPr>
        <w:t xml:space="preserve"> в части основных мероприятий, предусматривающих капитальные вложения в объекты государственной собственности, </w:t>
      </w:r>
      <w:r>
        <w:rPr>
          <w:rFonts w:ascii="Times New Roman" w:hAnsi="Times New Roman"/>
          <w:bCs/>
          <w:iCs/>
          <w:sz w:val="24"/>
          <w:szCs w:val="24"/>
        </w:rPr>
        <w:t>установлено</w:t>
      </w:r>
      <w:r w:rsidRPr="00832590">
        <w:rPr>
          <w:rFonts w:ascii="Times New Roman" w:hAnsi="Times New Roman"/>
          <w:bCs/>
          <w:iCs/>
          <w:sz w:val="24"/>
          <w:szCs w:val="24"/>
        </w:rPr>
        <w:t xml:space="preserve">, что </w:t>
      </w:r>
      <w:r>
        <w:rPr>
          <w:rFonts w:ascii="Times New Roman" w:hAnsi="Times New Roman"/>
          <w:bCs/>
          <w:iCs/>
          <w:sz w:val="24"/>
          <w:szCs w:val="24"/>
        </w:rPr>
        <w:t>мероприятия под</w:t>
      </w:r>
      <w:r w:rsidRPr="00832590">
        <w:rPr>
          <w:rFonts w:ascii="Times New Roman" w:hAnsi="Times New Roman"/>
          <w:bCs/>
          <w:iCs/>
          <w:sz w:val="24"/>
          <w:szCs w:val="24"/>
        </w:rPr>
        <w:t>программ</w:t>
      </w:r>
      <w:r>
        <w:rPr>
          <w:rFonts w:ascii="Times New Roman" w:hAnsi="Times New Roman"/>
          <w:bCs/>
          <w:iCs/>
          <w:sz w:val="24"/>
          <w:szCs w:val="24"/>
        </w:rPr>
        <w:t>ы</w:t>
      </w:r>
      <w:r w:rsidRPr="00832590">
        <w:rPr>
          <w:rFonts w:ascii="Times New Roman" w:hAnsi="Times New Roman"/>
          <w:bCs/>
          <w:iCs/>
          <w:sz w:val="24"/>
          <w:szCs w:val="24"/>
        </w:rPr>
        <w:t xml:space="preserve"> не увязаны с показателями расходов областного бюджета на</w:t>
      </w:r>
      <w:r>
        <w:rPr>
          <w:rFonts w:ascii="Times New Roman" w:hAnsi="Times New Roman"/>
          <w:bCs/>
          <w:iCs/>
          <w:sz w:val="24"/>
          <w:szCs w:val="24"/>
        </w:rPr>
        <w:t xml:space="preserve"> </w:t>
      </w:r>
      <w:r w:rsidRPr="00832590">
        <w:rPr>
          <w:rFonts w:ascii="Times New Roman" w:hAnsi="Times New Roman"/>
          <w:bCs/>
          <w:iCs/>
          <w:sz w:val="24"/>
          <w:szCs w:val="24"/>
        </w:rPr>
        <w:t>201</w:t>
      </w:r>
      <w:r>
        <w:rPr>
          <w:rFonts w:ascii="Times New Roman" w:hAnsi="Times New Roman"/>
          <w:bCs/>
          <w:iCs/>
          <w:sz w:val="24"/>
          <w:szCs w:val="24"/>
        </w:rPr>
        <w:t>5</w:t>
      </w:r>
      <w:r w:rsidRPr="00832590">
        <w:rPr>
          <w:rFonts w:ascii="Times New Roman" w:hAnsi="Times New Roman"/>
          <w:bCs/>
          <w:iCs/>
          <w:sz w:val="24"/>
          <w:szCs w:val="24"/>
        </w:rPr>
        <w:t xml:space="preserve"> и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 xml:space="preserve">7 </w:t>
      </w:r>
      <w:r w:rsidRPr="00832590">
        <w:rPr>
          <w:rFonts w:ascii="Times New Roman" w:hAnsi="Times New Roman"/>
          <w:bCs/>
          <w:iCs/>
          <w:sz w:val="24"/>
          <w:szCs w:val="24"/>
        </w:rPr>
        <w:t>годов</w:t>
      </w:r>
      <w:r>
        <w:rPr>
          <w:rFonts w:ascii="Times New Roman" w:hAnsi="Times New Roman"/>
          <w:bCs/>
          <w:iCs/>
          <w:sz w:val="24"/>
          <w:szCs w:val="24"/>
        </w:rPr>
        <w:t>,</w:t>
      </w:r>
      <w:r w:rsidRPr="00832590">
        <w:rPr>
          <w:rFonts w:ascii="Times New Roman" w:hAnsi="Times New Roman"/>
          <w:bCs/>
          <w:iCs/>
          <w:sz w:val="24"/>
          <w:szCs w:val="24"/>
        </w:rPr>
        <w:t xml:space="preserve"> не подкреплены бюджетными ассигнованиями </w:t>
      </w:r>
      <w:r>
        <w:rPr>
          <w:rFonts w:ascii="Times New Roman" w:hAnsi="Times New Roman"/>
          <w:bCs/>
          <w:iCs/>
          <w:sz w:val="24"/>
          <w:szCs w:val="24"/>
        </w:rPr>
        <w:t>и не обеспечивают исполнение</w:t>
      </w:r>
      <w:r w:rsidRPr="00832590">
        <w:rPr>
          <w:rFonts w:ascii="Times New Roman" w:hAnsi="Times New Roman"/>
          <w:bCs/>
          <w:iCs/>
          <w:sz w:val="24"/>
          <w:szCs w:val="24"/>
        </w:rPr>
        <w:t xml:space="preserve"> </w:t>
      </w:r>
      <w:r>
        <w:rPr>
          <w:rFonts w:ascii="Times New Roman" w:hAnsi="Times New Roman"/>
          <w:bCs/>
          <w:iCs/>
          <w:sz w:val="24"/>
          <w:szCs w:val="24"/>
        </w:rPr>
        <w:t>ожидаемых конечных показателей в рамках сроков действия программы. Так, по основному мероприятию, предусматривающему</w:t>
      </w:r>
      <w:r w:rsidRPr="00832590">
        <w:rPr>
          <w:rFonts w:ascii="Times New Roman" w:hAnsi="Times New Roman"/>
          <w:bCs/>
          <w:iCs/>
          <w:sz w:val="24"/>
          <w:szCs w:val="24"/>
        </w:rPr>
        <w:t xml:space="preserve"> капитальные вложения в </w:t>
      </w:r>
      <w:r>
        <w:rPr>
          <w:rFonts w:ascii="Times New Roman" w:hAnsi="Times New Roman"/>
          <w:bCs/>
          <w:iCs/>
          <w:sz w:val="24"/>
          <w:szCs w:val="24"/>
        </w:rPr>
        <w:t>один объект</w:t>
      </w:r>
      <w:r w:rsidRPr="00832590">
        <w:rPr>
          <w:rFonts w:ascii="Times New Roman" w:hAnsi="Times New Roman"/>
          <w:bCs/>
          <w:iCs/>
          <w:sz w:val="24"/>
          <w:szCs w:val="24"/>
        </w:rPr>
        <w:t xml:space="preserve"> государственной собственности</w:t>
      </w:r>
      <w:r>
        <w:rPr>
          <w:rFonts w:ascii="Times New Roman" w:hAnsi="Times New Roman"/>
          <w:bCs/>
          <w:iCs/>
          <w:sz w:val="24"/>
          <w:szCs w:val="24"/>
        </w:rPr>
        <w:t xml:space="preserve"> - строительство горнолыжной базы, с. Натальино Благовещенского района, при сметной стоимости объекта 284000,0 тыс. рублей </w:t>
      </w:r>
      <w:r>
        <w:rPr>
          <w:rFonts w:ascii="Times New Roman" w:hAnsi="Times New Roman"/>
          <w:bCs/>
          <w:iCs/>
          <w:sz w:val="24"/>
          <w:szCs w:val="24"/>
        </w:rPr>
        <w:br/>
        <w:t xml:space="preserve">(в ценах 2011 года), объеме незавершенного строительства по состоянию на 01.01.2014 – 35763,7 тыс. рублей, предусмотренные подпрограммой объемы расходов на строительство за счет всех источников составляют 14900,0 тыс. рублей (2900,0 тыс. рублей – 2014 год, </w:t>
      </w:r>
      <w:r>
        <w:rPr>
          <w:rFonts w:ascii="Times New Roman" w:hAnsi="Times New Roman"/>
          <w:bCs/>
          <w:iCs/>
          <w:sz w:val="24"/>
          <w:szCs w:val="24"/>
        </w:rPr>
        <w:br/>
      </w:r>
      <w:r w:rsidRPr="00E75775">
        <w:rPr>
          <w:rFonts w:ascii="Times New Roman" w:hAnsi="Times New Roman"/>
          <w:bCs/>
          <w:iCs/>
          <w:sz w:val="24"/>
          <w:szCs w:val="24"/>
        </w:rPr>
        <w:t xml:space="preserve">4000,0 тыс. рублей - 2018 год, 4000,0 тыс. рублей - 2019 год, 4000,0 тыс. рублей - 2020 год). </w:t>
      </w:r>
      <w:r w:rsidRPr="00914EF4">
        <w:rPr>
          <w:rFonts w:ascii="Times New Roman" w:hAnsi="Times New Roman"/>
          <w:bCs/>
          <w:iCs/>
          <w:sz w:val="24"/>
          <w:szCs w:val="24"/>
        </w:rPr>
        <w:t xml:space="preserve">Таким образом, </w:t>
      </w:r>
      <w:r>
        <w:rPr>
          <w:rFonts w:ascii="Times New Roman" w:hAnsi="Times New Roman"/>
          <w:bCs/>
          <w:iCs/>
          <w:sz w:val="24"/>
          <w:szCs w:val="24"/>
        </w:rPr>
        <w:t>предусмотренное</w:t>
      </w:r>
      <w:r w:rsidRPr="00914EF4">
        <w:rPr>
          <w:rFonts w:ascii="Times New Roman" w:hAnsi="Times New Roman"/>
          <w:bCs/>
          <w:iCs/>
          <w:sz w:val="24"/>
          <w:szCs w:val="24"/>
        </w:rPr>
        <w:t xml:space="preserve"> государственной программой ресурсное обеспечение не позволяет обеспечить </w:t>
      </w:r>
      <w:r w:rsidRPr="00914EF4">
        <w:rPr>
          <w:rFonts w:ascii="Times New Roman" w:hAnsi="Times New Roman"/>
          <w:sz w:val="24"/>
          <w:szCs w:val="24"/>
        </w:rPr>
        <w:t>выполнение программного мероприятия</w:t>
      </w:r>
      <w:r>
        <w:rPr>
          <w:rFonts w:ascii="Times New Roman" w:hAnsi="Times New Roman"/>
          <w:sz w:val="24"/>
          <w:szCs w:val="24"/>
        </w:rPr>
        <w:t xml:space="preserve"> и предопределяет увеличение количества и стоимости незавершенных строительством объектов государственной собственности области. </w:t>
      </w:r>
      <w:r w:rsidRPr="00914EF4">
        <w:rPr>
          <w:rFonts w:ascii="Times New Roman" w:hAnsi="Times New Roman"/>
          <w:sz w:val="24"/>
          <w:szCs w:val="24"/>
        </w:rPr>
        <w:t xml:space="preserve">Отсутствие </w:t>
      </w:r>
      <w:r>
        <w:rPr>
          <w:rFonts w:ascii="Times New Roman" w:hAnsi="Times New Roman"/>
          <w:sz w:val="24"/>
          <w:szCs w:val="24"/>
        </w:rPr>
        <w:t xml:space="preserve">необходимых </w:t>
      </w:r>
      <w:r w:rsidRPr="00914EF4">
        <w:rPr>
          <w:rFonts w:ascii="Times New Roman" w:hAnsi="Times New Roman"/>
          <w:sz w:val="24"/>
          <w:szCs w:val="24"/>
        </w:rPr>
        <w:t>ассигнований на строительство объекта позволяет предположить наличие значительных рисков</w:t>
      </w:r>
      <w:r>
        <w:rPr>
          <w:rFonts w:ascii="Times New Roman" w:hAnsi="Times New Roman"/>
          <w:sz w:val="24"/>
          <w:szCs w:val="24"/>
        </w:rPr>
        <w:t xml:space="preserve"> не</w:t>
      </w:r>
      <w:r w:rsidRPr="00914EF4">
        <w:rPr>
          <w:rFonts w:ascii="Times New Roman" w:hAnsi="Times New Roman"/>
          <w:sz w:val="24"/>
          <w:szCs w:val="24"/>
        </w:rPr>
        <w:t>достижени</w:t>
      </w:r>
      <w:r>
        <w:rPr>
          <w:rFonts w:ascii="Times New Roman" w:hAnsi="Times New Roman"/>
          <w:sz w:val="24"/>
          <w:szCs w:val="24"/>
        </w:rPr>
        <w:t>я</w:t>
      </w:r>
      <w:r w:rsidRPr="00914EF4">
        <w:rPr>
          <w:rFonts w:ascii="Times New Roman" w:hAnsi="Times New Roman"/>
          <w:sz w:val="24"/>
          <w:szCs w:val="24"/>
        </w:rPr>
        <w:t xml:space="preserve"> </w:t>
      </w:r>
      <w:r w:rsidRPr="00914EF4">
        <w:rPr>
          <w:rFonts w:ascii="Times New Roman" w:hAnsi="Times New Roman"/>
          <w:bCs/>
          <w:iCs/>
          <w:sz w:val="24"/>
          <w:szCs w:val="24"/>
        </w:rPr>
        <w:t>показател</w:t>
      </w:r>
      <w:r>
        <w:rPr>
          <w:rFonts w:ascii="Times New Roman" w:hAnsi="Times New Roman"/>
          <w:bCs/>
          <w:iCs/>
          <w:sz w:val="24"/>
          <w:szCs w:val="24"/>
        </w:rPr>
        <w:t>ей</w:t>
      </w:r>
      <w:r w:rsidRPr="00914EF4">
        <w:rPr>
          <w:rFonts w:ascii="Times New Roman" w:hAnsi="Times New Roman"/>
          <w:bCs/>
          <w:iCs/>
          <w:sz w:val="24"/>
          <w:szCs w:val="24"/>
        </w:rPr>
        <w:t xml:space="preserve"> реализации</w:t>
      </w:r>
      <w:r>
        <w:rPr>
          <w:rFonts w:ascii="Times New Roman" w:hAnsi="Times New Roman"/>
          <w:bCs/>
          <w:iCs/>
          <w:sz w:val="24"/>
          <w:szCs w:val="24"/>
        </w:rPr>
        <w:t xml:space="preserve"> программы, которые при этом предусматривают ввод в эксплуатацию спортивных объектов государственной собственности в количестве двух единиц.</w:t>
      </w:r>
    </w:p>
    <w:p w:rsidR="00F02FDF" w:rsidRPr="00832590" w:rsidRDefault="00F02FDF" w:rsidP="00F02FDF">
      <w:pPr>
        <w:widowControl w:val="0"/>
        <w:tabs>
          <w:tab w:val="left" w:pos="540"/>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Таким образом, п</w:t>
      </w:r>
      <w:r w:rsidRPr="00832590">
        <w:rPr>
          <w:rFonts w:ascii="Times New Roman" w:hAnsi="Times New Roman"/>
          <w:bCs/>
          <w:iCs/>
          <w:sz w:val="24"/>
          <w:szCs w:val="24"/>
        </w:rPr>
        <w:t xml:space="preserve">роведенный анализ отдельных государственных программ Амурской области в части основных мероприятий, предусматривающих капитальные вложения в объекты государственной собственности, позволяет сделать вывод о том, что в ряде случаев мероприятия госпрограмм не увязаны с показателями расходов областного бюджета </w:t>
      </w:r>
      <w:r>
        <w:rPr>
          <w:rFonts w:ascii="Times New Roman" w:hAnsi="Times New Roman"/>
          <w:bCs/>
          <w:iCs/>
          <w:sz w:val="24"/>
          <w:szCs w:val="24"/>
        </w:rPr>
        <w:br/>
      </w:r>
      <w:r w:rsidRPr="00832590">
        <w:rPr>
          <w:rFonts w:ascii="Times New Roman" w:hAnsi="Times New Roman"/>
          <w:bCs/>
          <w:iCs/>
          <w:sz w:val="24"/>
          <w:szCs w:val="24"/>
        </w:rPr>
        <w:t>на 201</w:t>
      </w:r>
      <w:r>
        <w:rPr>
          <w:rFonts w:ascii="Times New Roman" w:hAnsi="Times New Roman"/>
          <w:bCs/>
          <w:iCs/>
          <w:sz w:val="24"/>
          <w:szCs w:val="24"/>
        </w:rPr>
        <w:t>5</w:t>
      </w:r>
      <w:r w:rsidRPr="00832590">
        <w:rPr>
          <w:rFonts w:ascii="Times New Roman" w:hAnsi="Times New Roman"/>
          <w:bCs/>
          <w:iCs/>
          <w:sz w:val="24"/>
          <w:szCs w:val="24"/>
        </w:rPr>
        <w:t xml:space="preserve"> и плановый период 201</w:t>
      </w:r>
      <w:r>
        <w:rPr>
          <w:rFonts w:ascii="Times New Roman" w:hAnsi="Times New Roman"/>
          <w:bCs/>
          <w:iCs/>
          <w:sz w:val="24"/>
          <w:szCs w:val="24"/>
        </w:rPr>
        <w:t>6</w:t>
      </w:r>
      <w:r w:rsidRPr="00832590">
        <w:rPr>
          <w:rFonts w:ascii="Times New Roman" w:hAnsi="Times New Roman"/>
          <w:bCs/>
          <w:iCs/>
          <w:sz w:val="24"/>
          <w:szCs w:val="24"/>
        </w:rPr>
        <w:t xml:space="preserve"> и 201</w:t>
      </w:r>
      <w:r>
        <w:rPr>
          <w:rFonts w:ascii="Times New Roman" w:hAnsi="Times New Roman"/>
          <w:bCs/>
          <w:iCs/>
          <w:sz w:val="24"/>
          <w:szCs w:val="24"/>
        </w:rPr>
        <w:t>7</w:t>
      </w:r>
      <w:r w:rsidRPr="00832590">
        <w:rPr>
          <w:rFonts w:ascii="Times New Roman" w:hAnsi="Times New Roman"/>
          <w:bCs/>
          <w:iCs/>
          <w:sz w:val="24"/>
          <w:szCs w:val="24"/>
        </w:rPr>
        <w:t xml:space="preserve"> годов</w:t>
      </w:r>
      <w:r>
        <w:rPr>
          <w:rFonts w:ascii="Times New Roman" w:hAnsi="Times New Roman"/>
          <w:bCs/>
          <w:iCs/>
          <w:sz w:val="24"/>
          <w:szCs w:val="24"/>
        </w:rPr>
        <w:t xml:space="preserve">, </w:t>
      </w:r>
      <w:r w:rsidRPr="00832590">
        <w:rPr>
          <w:rFonts w:ascii="Times New Roman" w:hAnsi="Times New Roman"/>
          <w:bCs/>
          <w:iCs/>
          <w:sz w:val="24"/>
          <w:szCs w:val="24"/>
        </w:rPr>
        <w:t xml:space="preserve">не подкреплены </w:t>
      </w:r>
      <w:r>
        <w:rPr>
          <w:rFonts w:ascii="Times New Roman" w:hAnsi="Times New Roman"/>
          <w:bCs/>
          <w:iCs/>
          <w:sz w:val="24"/>
          <w:szCs w:val="24"/>
        </w:rPr>
        <w:t xml:space="preserve">ресурсным обеспечением и содержат риски </w:t>
      </w:r>
      <w:r>
        <w:rPr>
          <w:rFonts w:ascii="Times New Roman" w:hAnsi="Times New Roman"/>
          <w:sz w:val="24"/>
          <w:szCs w:val="24"/>
        </w:rPr>
        <w:t>не</w:t>
      </w:r>
      <w:r w:rsidRPr="00914EF4">
        <w:rPr>
          <w:rFonts w:ascii="Times New Roman" w:hAnsi="Times New Roman"/>
          <w:sz w:val="24"/>
          <w:szCs w:val="24"/>
        </w:rPr>
        <w:t>достижени</w:t>
      </w:r>
      <w:r>
        <w:rPr>
          <w:rFonts w:ascii="Times New Roman" w:hAnsi="Times New Roman"/>
          <w:sz w:val="24"/>
          <w:szCs w:val="24"/>
        </w:rPr>
        <w:t>я</w:t>
      </w:r>
      <w:r w:rsidRPr="00914EF4">
        <w:rPr>
          <w:rFonts w:ascii="Times New Roman" w:hAnsi="Times New Roman"/>
          <w:sz w:val="24"/>
          <w:szCs w:val="24"/>
        </w:rPr>
        <w:t xml:space="preserve"> </w:t>
      </w:r>
      <w:r>
        <w:rPr>
          <w:rFonts w:ascii="Times New Roman" w:hAnsi="Times New Roman"/>
          <w:sz w:val="24"/>
          <w:szCs w:val="24"/>
        </w:rPr>
        <w:t>планируемых показателей.</w:t>
      </w:r>
    </w:p>
    <w:p w:rsidR="00F02FDF" w:rsidRDefault="00F02FDF" w:rsidP="00F02FDF">
      <w:pPr>
        <w:spacing w:after="0" w:line="240" w:lineRule="auto"/>
        <w:ind w:firstLine="709"/>
      </w:pPr>
    </w:p>
    <w:p w:rsidR="00F02FDF" w:rsidRPr="00304FE8" w:rsidRDefault="00304FE8" w:rsidP="00DA5F4F">
      <w:pPr>
        <w:pStyle w:val="ad"/>
        <w:numPr>
          <w:ilvl w:val="1"/>
          <w:numId w:val="14"/>
        </w:numPr>
        <w:spacing w:after="0" w:line="240" w:lineRule="auto"/>
        <w:jc w:val="center"/>
        <w:rPr>
          <w:rFonts w:ascii="Times New Roman" w:hAnsi="Times New Roman"/>
          <w:b/>
          <w:sz w:val="24"/>
          <w:szCs w:val="24"/>
        </w:rPr>
      </w:pPr>
      <w:r>
        <w:rPr>
          <w:rFonts w:ascii="Times New Roman" w:hAnsi="Times New Roman"/>
          <w:b/>
          <w:bCs/>
          <w:iCs/>
          <w:sz w:val="24"/>
          <w:szCs w:val="24"/>
        </w:rPr>
        <w:t xml:space="preserve"> </w:t>
      </w:r>
      <w:r w:rsidR="00F02FDF" w:rsidRPr="00304FE8">
        <w:rPr>
          <w:rFonts w:ascii="Times New Roman" w:hAnsi="Times New Roman"/>
          <w:b/>
          <w:bCs/>
          <w:iCs/>
          <w:sz w:val="24"/>
          <w:szCs w:val="24"/>
        </w:rPr>
        <w:t xml:space="preserve">Расходы областного бюджета на 2015 год и плановый период 2016 и </w:t>
      </w:r>
      <w:r>
        <w:rPr>
          <w:rFonts w:ascii="Times New Roman" w:hAnsi="Times New Roman"/>
          <w:b/>
          <w:bCs/>
          <w:iCs/>
          <w:sz w:val="24"/>
          <w:szCs w:val="24"/>
        </w:rPr>
        <w:br/>
      </w:r>
      <w:r w:rsidR="00F02FDF" w:rsidRPr="00304FE8">
        <w:rPr>
          <w:rFonts w:ascii="Times New Roman" w:hAnsi="Times New Roman"/>
          <w:b/>
          <w:bCs/>
          <w:iCs/>
          <w:sz w:val="24"/>
          <w:szCs w:val="24"/>
        </w:rPr>
        <w:t>2017</w:t>
      </w:r>
      <w:r w:rsidR="00F02FDF" w:rsidRPr="00304FE8">
        <w:rPr>
          <w:rFonts w:ascii="Times New Roman" w:hAnsi="Times New Roman"/>
          <w:b/>
          <w:bCs/>
          <w:sz w:val="24"/>
          <w:szCs w:val="24"/>
        </w:rPr>
        <w:t xml:space="preserve"> </w:t>
      </w:r>
      <w:r w:rsidR="00F02FDF" w:rsidRPr="00304FE8">
        <w:rPr>
          <w:rFonts w:ascii="Times New Roman" w:hAnsi="Times New Roman"/>
          <w:b/>
          <w:bCs/>
          <w:iCs/>
          <w:sz w:val="24"/>
          <w:szCs w:val="24"/>
        </w:rPr>
        <w:t>годов на б</w:t>
      </w:r>
      <w:r w:rsidR="00F02FDF" w:rsidRPr="00304FE8">
        <w:rPr>
          <w:rFonts w:ascii="Times New Roman" w:hAnsi="Times New Roman"/>
          <w:b/>
          <w:sz w:val="24"/>
          <w:szCs w:val="24"/>
        </w:rPr>
        <w:t>юджетные инвестиции, предоставляемые юридическим лицам, не являющимся государственными или муниципальными учреждениями и государственными или муниципа</w:t>
      </w:r>
      <w:r w:rsidR="00096D75">
        <w:rPr>
          <w:rFonts w:ascii="Times New Roman" w:hAnsi="Times New Roman"/>
          <w:b/>
          <w:sz w:val="24"/>
          <w:szCs w:val="24"/>
        </w:rPr>
        <w:t>льными унитарными предприятиями</w:t>
      </w:r>
    </w:p>
    <w:p w:rsidR="00F02FDF" w:rsidRPr="00B4355C" w:rsidRDefault="00F02FDF" w:rsidP="0094116F">
      <w:pPr>
        <w:widowControl w:val="0"/>
        <w:autoSpaceDE w:val="0"/>
        <w:autoSpaceDN w:val="0"/>
        <w:adjustRightInd w:val="0"/>
        <w:spacing w:after="0" w:line="240" w:lineRule="auto"/>
        <w:ind w:firstLine="709"/>
        <w:jc w:val="both"/>
        <w:rPr>
          <w:rFonts w:ascii="Times New Roman" w:hAnsi="Times New Roman"/>
          <w:sz w:val="24"/>
          <w:szCs w:val="24"/>
        </w:rPr>
      </w:pPr>
      <w:r w:rsidRPr="00B4355C">
        <w:rPr>
          <w:rFonts w:ascii="Times New Roman" w:hAnsi="Times New Roman"/>
          <w:sz w:val="24"/>
          <w:szCs w:val="24"/>
        </w:rPr>
        <w:t>В соответствии с требованиями пункта 2 статьи 80 Бюджетного кодекса Российской Федерации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утверждаются законом о бюджете в качестве отдельного приложения к данному закону с указанием юридического лица, объема и цели предоставляемых бюджетных инвестиций.</w:t>
      </w:r>
    </w:p>
    <w:p w:rsidR="00F02FDF" w:rsidRPr="00B4355C" w:rsidRDefault="00F02FDF" w:rsidP="0094116F">
      <w:pPr>
        <w:spacing w:after="0" w:line="240" w:lineRule="auto"/>
        <w:ind w:firstLine="709"/>
        <w:jc w:val="both"/>
        <w:rPr>
          <w:rFonts w:ascii="Times New Roman" w:hAnsi="Times New Roman"/>
          <w:sz w:val="24"/>
          <w:szCs w:val="24"/>
        </w:rPr>
      </w:pPr>
      <w:r w:rsidRPr="00B4355C">
        <w:rPr>
          <w:rFonts w:ascii="Times New Roman" w:hAnsi="Times New Roman"/>
          <w:sz w:val="24"/>
          <w:szCs w:val="24"/>
        </w:rPr>
        <w:t xml:space="preserve">Приложением № 44 к проекту закона Амурской области «Об областном бюджете на 2015 и плановый период 2016 и 2017 годов» предусмотрены расходы </w:t>
      </w:r>
      <w:r w:rsidRPr="00B4355C">
        <w:rPr>
          <w:rFonts w:ascii="Times New Roman" w:hAnsi="Times New Roman"/>
          <w:bCs/>
          <w:iCs/>
          <w:sz w:val="24"/>
          <w:szCs w:val="24"/>
        </w:rPr>
        <w:t>на б</w:t>
      </w:r>
      <w:r w:rsidRPr="00B4355C">
        <w:rPr>
          <w:rFonts w:ascii="Times New Roman" w:hAnsi="Times New Roman"/>
          <w:sz w:val="24"/>
          <w:szCs w:val="24"/>
        </w:rPr>
        <w:t>юджетные инвестиции, предоставляемые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рамках двух государственных программ в общей сумме 160000,0 тыс. рублей в 2015 году, 90000,0 тыс. рублей в 2016 году и 40000,0 тыс. рублей в 2017 году, в том числе:</w:t>
      </w:r>
    </w:p>
    <w:p w:rsidR="00F02FDF" w:rsidRPr="00217947" w:rsidRDefault="00F02FDF" w:rsidP="00DA5F4F">
      <w:pPr>
        <w:pStyle w:val="ad"/>
        <w:numPr>
          <w:ilvl w:val="0"/>
          <w:numId w:val="18"/>
        </w:numPr>
        <w:spacing w:after="0" w:line="240" w:lineRule="auto"/>
        <w:ind w:left="0" w:firstLine="709"/>
        <w:jc w:val="both"/>
        <w:rPr>
          <w:rFonts w:ascii="Times New Roman" w:hAnsi="Times New Roman"/>
          <w:bCs/>
          <w:iCs/>
          <w:sz w:val="24"/>
          <w:szCs w:val="24"/>
        </w:rPr>
      </w:pPr>
      <w:r w:rsidRPr="00217947">
        <w:rPr>
          <w:rFonts w:ascii="Times New Roman" w:hAnsi="Times New Roman"/>
          <w:bCs/>
          <w:iCs/>
          <w:sz w:val="24"/>
          <w:szCs w:val="24"/>
        </w:rPr>
        <w:t>в рамках подпрограммы «Развитие мясного скотоводства»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 увеличение уставного капитала ОАО «Агентство кредитных гарантий АПК» в объеме 120000,0 тыс. рублей в 2015 году и 50000,0 тыс. рублей в 2016 году</w:t>
      </w:r>
      <w:r>
        <w:rPr>
          <w:rFonts w:ascii="Times New Roman" w:hAnsi="Times New Roman"/>
          <w:bCs/>
          <w:iCs/>
          <w:sz w:val="24"/>
          <w:szCs w:val="24"/>
        </w:rPr>
        <w:t xml:space="preserve"> в целях дальнейшего развития мясного скотоводства в Амурской области</w:t>
      </w:r>
      <w:r w:rsidRPr="00217947">
        <w:rPr>
          <w:rFonts w:ascii="Times New Roman" w:hAnsi="Times New Roman"/>
          <w:bCs/>
          <w:iCs/>
          <w:sz w:val="24"/>
          <w:szCs w:val="24"/>
        </w:rPr>
        <w:t>;</w:t>
      </w:r>
    </w:p>
    <w:p w:rsidR="00F02FDF" w:rsidRPr="00217947" w:rsidRDefault="00F02FDF" w:rsidP="00DA5F4F">
      <w:pPr>
        <w:pStyle w:val="ad"/>
        <w:numPr>
          <w:ilvl w:val="0"/>
          <w:numId w:val="18"/>
        </w:numPr>
        <w:spacing w:after="0" w:line="240" w:lineRule="auto"/>
        <w:ind w:left="0" w:firstLine="709"/>
        <w:jc w:val="both"/>
        <w:rPr>
          <w:rFonts w:ascii="Times New Roman" w:hAnsi="Times New Roman"/>
          <w:bCs/>
          <w:iCs/>
          <w:sz w:val="24"/>
          <w:szCs w:val="24"/>
        </w:rPr>
      </w:pPr>
      <w:r w:rsidRPr="00217947">
        <w:rPr>
          <w:rFonts w:ascii="Times New Roman" w:hAnsi="Times New Roman"/>
          <w:bCs/>
          <w:iCs/>
          <w:sz w:val="24"/>
          <w:szCs w:val="24"/>
        </w:rPr>
        <w:lastRenderedPageBreak/>
        <w:t>в рамках подпрограммы «Развитие ипотечного жилищного кредитования в Амурской области» государственной программы «Обеспечение доступным и качественным жильем населения Амурской области на 2014-2020 годы» - увеличение уставного капитала ОАО «Амурское ипотечное агентство» в объеме 40000,0 тыс. рублей в 2015 году,</w:t>
      </w:r>
      <w:r>
        <w:rPr>
          <w:rFonts w:ascii="Times New Roman" w:hAnsi="Times New Roman"/>
          <w:bCs/>
          <w:iCs/>
          <w:sz w:val="24"/>
          <w:szCs w:val="24"/>
        </w:rPr>
        <w:br/>
      </w:r>
      <w:r w:rsidRPr="00217947">
        <w:rPr>
          <w:rFonts w:ascii="Times New Roman" w:hAnsi="Times New Roman"/>
          <w:bCs/>
          <w:iCs/>
          <w:sz w:val="24"/>
          <w:szCs w:val="24"/>
        </w:rPr>
        <w:t xml:space="preserve"> 40000,0 тыс. рублей в 2016 году, 40000,0 тыс. рублей в 2017 году</w:t>
      </w:r>
      <w:r w:rsidRPr="0042107D">
        <w:rPr>
          <w:rFonts w:ascii="Times New Roman" w:hAnsi="Times New Roman"/>
          <w:bCs/>
          <w:iCs/>
          <w:sz w:val="24"/>
          <w:szCs w:val="24"/>
        </w:rPr>
        <w:t xml:space="preserve"> </w:t>
      </w:r>
      <w:r>
        <w:rPr>
          <w:rFonts w:ascii="Times New Roman" w:hAnsi="Times New Roman"/>
          <w:bCs/>
          <w:iCs/>
          <w:sz w:val="24"/>
          <w:szCs w:val="24"/>
        </w:rPr>
        <w:t>в целях формирования рынка доступного арендного жилья на территории Амурской области</w:t>
      </w:r>
      <w:r w:rsidRPr="00217947">
        <w:rPr>
          <w:rFonts w:ascii="Times New Roman" w:hAnsi="Times New Roman"/>
          <w:bCs/>
          <w:iCs/>
          <w:sz w:val="24"/>
          <w:szCs w:val="24"/>
        </w:rPr>
        <w:t>.</w:t>
      </w:r>
    </w:p>
    <w:p w:rsidR="00F02FDF" w:rsidRPr="00A15EDF" w:rsidRDefault="00F02FDF" w:rsidP="00F02FD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С</w:t>
      </w:r>
      <w:r w:rsidRPr="00A15EDF">
        <w:rPr>
          <w:rFonts w:ascii="Times New Roman" w:hAnsi="Times New Roman"/>
          <w:bCs/>
          <w:sz w:val="24"/>
          <w:szCs w:val="24"/>
        </w:rPr>
        <w:t>огласно пункту 3 статьи 80</w:t>
      </w:r>
      <w:r w:rsidRPr="00A15EDF">
        <w:rPr>
          <w:rFonts w:ascii="Times New Roman" w:hAnsi="Times New Roman"/>
          <w:color w:val="FF0000"/>
          <w:sz w:val="24"/>
          <w:szCs w:val="24"/>
        </w:rPr>
        <w:t xml:space="preserve"> </w:t>
      </w:r>
      <w:r w:rsidRPr="00A15EDF">
        <w:rPr>
          <w:rFonts w:ascii="Times New Roman" w:hAnsi="Times New Roman"/>
          <w:sz w:val="24"/>
          <w:szCs w:val="24"/>
        </w:rPr>
        <w:t>Бюджетного кодекса Российской Федерации д</w:t>
      </w:r>
      <w:r w:rsidRPr="00A15EDF">
        <w:rPr>
          <w:rFonts w:ascii="Times New Roman" w:hAnsi="Times New Roman"/>
          <w:bCs/>
          <w:sz w:val="24"/>
          <w:szCs w:val="24"/>
        </w:rPr>
        <w:t xml:space="preserve">оговор между высшим исполнительным органом государственной власти субъекта Российской Федерации или уполномоченными исполнительными органами государственной власти субъекта Российской Федерации и юридическим лицом, </w:t>
      </w:r>
      <w:r w:rsidRPr="00A15EDF">
        <w:rPr>
          <w:rFonts w:ascii="Times New Roman" w:hAnsi="Times New Roman"/>
          <w:sz w:val="24"/>
          <w:szCs w:val="24"/>
        </w:rPr>
        <w:t>не являющимся государственным и муниципальным учреждением и государственным или муниципальным унитарным предприятием</w:t>
      </w:r>
      <w:r w:rsidRPr="00A15EDF">
        <w:rPr>
          <w:rFonts w:ascii="Times New Roman" w:hAnsi="Times New Roman"/>
          <w:bCs/>
          <w:sz w:val="24"/>
          <w:szCs w:val="24"/>
        </w:rPr>
        <w:t>, об участии субъекта Российской Федерации в собственности субъекта инвестиций оформляется в течение трех месяцев после дня вступления в силу закона о бюджете.</w:t>
      </w:r>
    </w:p>
    <w:p w:rsidR="00F02FDF" w:rsidRDefault="00F02FDF" w:rsidP="00F02FDF">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Кроме того, п</w:t>
      </w:r>
      <w:r w:rsidRPr="00A15EDF">
        <w:rPr>
          <w:rFonts w:ascii="Times New Roman" w:hAnsi="Times New Roman"/>
          <w:sz w:val="24"/>
          <w:szCs w:val="24"/>
        </w:rPr>
        <w:t xml:space="preserve">унктом 3 статьи 80 Бюджетного кодекса Российской Федерации </w:t>
      </w:r>
      <w:r>
        <w:rPr>
          <w:rFonts w:ascii="Times New Roman" w:hAnsi="Times New Roman"/>
          <w:sz w:val="24"/>
          <w:szCs w:val="24"/>
        </w:rPr>
        <w:br/>
      </w:r>
      <w:r w:rsidRPr="00A15EDF">
        <w:rPr>
          <w:rFonts w:ascii="Times New Roman" w:hAnsi="Times New Roman"/>
          <w:sz w:val="24"/>
          <w:szCs w:val="24"/>
        </w:rPr>
        <w:t>(в ред. от 28.12.2013) установлено, что требования к договорам, заключенным в связи с предоставлением бюджетных инвестиций юридическим лицам, за счет средств бюджета субъекта Российской Федерации устанавливаются высшим исполнительным органом государственной власти субъекта Рос</w:t>
      </w:r>
      <w:r w:rsidR="00096D75">
        <w:rPr>
          <w:rFonts w:ascii="Times New Roman" w:hAnsi="Times New Roman"/>
          <w:sz w:val="24"/>
          <w:szCs w:val="24"/>
        </w:rPr>
        <w:t>сийской Федерации.</w:t>
      </w:r>
    </w:p>
    <w:p w:rsidR="00F02FDF" w:rsidRPr="00A15EDF" w:rsidRDefault="00F02FDF" w:rsidP="00F02FDF">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Контрольно-счетная палата области обращает внимание</w:t>
      </w:r>
      <w:r w:rsidR="00096D75">
        <w:rPr>
          <w:rFonts w:ascii="Times New Roman" w:hAnsi="Times New Roman"/>
          <w:sz w:val="24"/>
          <w:szCs w:val="24"/>
        </w:rPr>
        <w:t xml:space="preserve"> на то</w:t>
      </w:r>
      <w:r>
        <w:rPr>
          <w:rFonts w:ascii="Times New Roman" w:hAnsi="Times New Roman"/>
          <w:sz w:val="24"/>
          <w:szCs w:val="24"/>
        </w:rPr>
        <w:t xml:space="preserve">, что до настоящего времени </w:t>
      </w:r>
      <w:r w:rsidRPr="00A15EDF">
        <w:rPr>
          <w:rFonts w:ascii="Times New Roman" w:hAnsi="Times New Roman"/>
          <w:sz w:val="24"/>
          <w:szCs w:val="24"/>
        </w:rPr>
        <w:t>нормативн</w:t>
      </w:r>
      <w:r>
        <w:rPr>
          <w:rFonts w:ascii="Times New Roman" w:hAnsi="Times New Roman"/>
          <w:sz w:val="24"/>
          <w:szCs w:val="24"/>
        </w:rPr>
        <w:t xml:space="preserve">ый </w:t>
      </w:r>
      <w:r w:rsidRPr="00A15EDF">
        <w:rPr>
          <w:rFonts w:ascii="Times New Roman" w:hAnsi="Times New Roman"/>
          <w:sz w:val="24"/>
          <w:szCs w:val="24"/>
        </w:rPr>
        <w:t>правово</w:t>
      </w:r>
      <w:r>
        <w:rPr>
          <w:rFonts w:ascii="Times New Roman" w:hAnsi="Times New Roman"/>
          <w:sz w:val="24"/>
          <w:szCs w:val="24"/>
        </w:rPr>
        <w:t>й акт, устанавливающий</w:t>
      </w:r>
      <w:r w:rsidRPr="00A15EDF">
        <w:rPr>
          <w:rFonts w:ascii="Times New Roman" w:hAnsi="Times New Roman"/>
          <w:sz w:val="24"/>
          <w:szCs w:val="24"/>
        </w:rPr>
        <w:t xml:space="preserve"> требования к договорам, заключенным в связи с предоставлением бюджетных инвестиций юридическим лицам, не являющимся государственными учреждениями области и государственными унитарными предприятиями области</w:t>
      </w:r>
      <w:r>
        <w:rPr>
          <w:rFonts w:ascii="Times New Roman" w:hAnsi="Times New Roman"/>
          <w:sz w:val="24"/>
          <w:szCs w:val="24"/>
        </w:rPr>
        <w:t>, не принят</w:t>
      </w:r>
      <w:r w:rsidRPr="00A15EDF">
        <w:rPr>
          <w:rFonts w:ascii="Times New Roman" w:hAnsi="Times New Roman"/>
          <w:sz w:val="24"/>
          <w:szCs w:val="24"/>
        </w:rPr>
        <w:t>.</w:t>
      </w:r>
    </w:p>
    <w:p w:rsidR="00F02FDF" w:rsidRPr="00E75775" w:rsidRDefault="00F02FDF" w:rsidP="00F02FDF">
      <w:pPr>
        <w:widowControl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Кроме </w:t>
      </w:r>
      <w:r w:rsidRPr="00E75775">
        <w:rPr>
          <w:rFonts w:ascii="Times New Roman" w:hAnsi="Times New Roman"/>
          <w:sz w:val="24"/>
          <w:szCs w:val="24"/>
        </w:rPr>
        <w:t xml:space="preserve">того, контрольно-счетная палата отмечает, что </w:t>
      </w:r>
      <w:r>
        <w:rPr>
          <w:rFonts w:ascii="Times New Roman" w:hAnsi="Times New Roman"/>
          <w:sz w:val="24"/>
          <w:szCs w:val="24"/>
        </w:rPr>
        <w:t xml:space="preserve">пунктом 1 статьи 5 проекта федерального закона «О федеральном бюджете на 2015 и плановый период 2016 и </w:t>
      </w:r>
      <w:r>
        <w:rPr>
          <w:rFonts w:ascii="Times New Roman" w:hAnsi="Times New Roman"/>
          <w:sz w:val="24"/>
          <w:szCs w:val="24"/>
        </w:rPr>
        <w:br/>
        <w:t xml:space="preserve">2017 годов» определено, что в 2015 году </w:t>
      </w:r>
      <w:r w:rsidRPr="00E75775">
        <w:rPr>
          <w:rFonts w:ascii="Times New Roman" w:hAnsi="Times New Roman"/>
          <w:sz w:val="24"/>
          <w:szCs w:val="24"/>
        </w:rPr>
        <w:t>бюджетные инвестиции юридическим лицам, не являющимся федеральными государственными учреждениями и федеральными государственными унитарными предприятиями, взносы в уставные капиталы юридических лиц, включенные в утверждаемый Правительством Российской Федерации перечень, подлежат перечислению на отдельные счета, открытые территориальным органам Федерального казначейства в учреждениях Центрального банка Российской Федерации.</w:t>
      </w:r>
    </w:p>
    <w:p w:rsidR="00F02FDF" w:rsidRDefault="00F02FDF" w:rsidP="00F02FD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наличие в законопроекте об областном бюджете на 2015 и плановый период </w:t>
      </w:r>
      <w:r>
        <w:rPr>
          <w:rFonts w:ascii="Times New Roman" w:hAnsi="Times New Roman"/>
          <w:sz w:val="24"/>
          <w:szCs w:val="24"/>
        </w:rPr>
        <w:br/>
        <w:t xml:space="preserve">2016 и 2017 годов расходов на бюджетные инвестиции </w:t>
      </w:r>
      <w:r w:rsidRPr="00B4355C">
        <w:rPr>
          <w:rFonts w:ascii="Times New Roman" w:hAnsi="Times New Roman"/>
          <w:sz w:val="24"/>
          <w:szCs w:val="24"/>
        </w:rPr>
        <w:t>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Pr>
          <w:rFonts w:ascii="Times New Roman" w:hAnsi="Times New Roman"/>
          <w:sz w:val="24"/>
          <w:szCs w:val="24"/>
        </w:rPr>
        <w:t xml:space="preserve"> на </w:t>
      </w:r>
      <w:r w:rsidRPr="00217947">
        <w:rPr>
          <w:rFonts w:ascii="Times New Roman" w:hAnsi="Times New Roman"/>
          <w:bCs/>
          <w:iCs/>
          <w:sz w:val="24"/>
          <w:szCs w:val="24"/>
        </w:rPr>
        <w:t>увеличение уставн</w:t>
      </w:r>
      <w:r>
        <w:rPr>
          <w:rFonts w:ascii="Times New Roman" w:hAnsi="Times New Roman"/>
          <w:bCs/>
          <w:iCs/>
          <w:sz w:val="24"/>
          <w:szCs w:val="24"/>
        </w:rPr>
        <w:t>ых капиталов в объеме 16</w:t>
      </w:r>
      <w:r w:rsidRPr="00217947">
        <w:rPr>
          <w:rFonts w:ascii="Times New Roman" w:hAnsi="Times New Roman"/>
          <w:bCs/>
          <w:iCs/>
          <w:sz w:val="24"/>
          <w:szCs w:val="24"/>
        </w:rPr>
        <w:t xml:space="preserve">0000,0 тыс. рублей в 2015 году, </w:t>
      </w:r>
      <w:r>
        <w:rPr>
          <w:rFonts w:ascii="Times New Roman" w:hAnsi="Times New Roman"/>
          <w:bCs/>
          <w:iCs/>
          <w:sz w:val="24"/>
          <w:szCs w:val="24"/>
        </w:rPr>
        <w:t>аналогичная норма законопроектом не предусмотрена.</w:t>
      </w:r>
    </w:p>
    <w:p w:rsidR="00F02FDF" w:rsidRDefault="00F02FDF" w:rsidP="00F02FDF">
      <w:pPr>
        <w:spacing w:after="0" w:line="240" w:lineRule="auto"/>
        <w:ind w:firstLine="709"/>
        <w:rPr>
          <w:rFonts w:ascii="Times New Roman" w:hAnsi="Times New Roman"/>
          <w:sz w:val="24"/>
          <w:szCs w:val="24"/>
        </w:rPr>
      </w:pPr>
    </w:p>
    <w:p w:rsidR="00696B03" w:rsidRPr="00696B03" w:rsidRDefault="00696B03" w:rsidP="00DA5F4F">
      <w:pPr>
        <w:pStyle w:val="ad"/>
        <w:numPr>
          <w:ilvl w:val="1"/>
          <w:numId w:val="14"/>
        </w:numPr>
        <w:jc w:val="center"/>
        <w:rPr>
          <w:rFonts w:ascii="Times New Roman" w:hAnsi="Times New Roman"/>
          <w:b/>
          <w:sz w:val="24"/>
          <w:szCs w:val="24"/>
        </w:rPr>
      </w:pPr>
      <w:r>
        <w:rPr>
          <w:rFonts w:ascii="Times New Roman" w:hAnsi="Times New Roman"/>
          <w:b/>
          <w:sz w:val="24"/>
          <w:szCs w:val="24"/>
        </w:rPr>
        <w:t xml:space="preserve"> </w:t>
      </w:r>
      <w:r w:rsidRPr="00696B03">
        <w:rPr>
          <w:rFonts w:ascii="Times New Roman" w:hAnsi="Times New Roman"/>
          <w:b/>
          <w:sz w:val="24"/>
          <w:szCs w:val="24"/>
        </w:rPr>
        <w:t xml:space="preserve">Доходы и расходы областного бюджета в рамках </w:t>
      </w:r>
      <w:r>
        <w:rPr>
          <w:rFonts w:ascii="Times New Roman" w:hAnsi="Times New Roman"/>
          <w:b/>
          <w:sz w:val="24"/>
          <w:szCs w:val="24"/>
        </w:rPr>
        <w:t>д</w:t>
      </w:r>
      <w:r w:rsidRPr="00696B03">
        <w:rPr>
          <w:rFonts w:ascii="Times New Roman" w:hAnsi="Times New Roman"/>
          <w:b/>
          <w:sz w:val="24"/>
          <w:szCs w:val="24"/>
        </w:rPr>
        <w:t>орожного фонда Амурской области на 2015 год и плановый период 2016 и 2017 годов</w:t>
      </w:r>
    </w:p>
    <w:p w:rsidR="00696B03" w:rsidRPr="003860EC" w:rsidRDefault="00696B03" w:rsidP="00696B03">
      <w:pPr>
        <w:spacing w:after="0" w:line="240" w:lineRule="auto"/>
        <w:ind w:firstLine="709"/>
        <w:jc w:val="both"/>
        <w:rPr>
          <w:rFonts w:ascii="Times New Roman" w:hAnsi="Times New Roman"/>
          <w:sz w:val="24"/>
          <w:szCs w:val="24"/>
        </w:rPr>
      </w:pPr>
      <w:r w:rsidRPr="003860EC">
        <w:rPr>
          <w:rFonts w:ascii="Times New Roman" w:hAnsi="Times New Roman"/>
          <w:sz w:val="24"/>
          <w:szCs w:val="24"/>
        </w:rPr>
        <w:t>В соответствии со статьей 19 проекта закона Амурской области «Об областном бюджете на 201</w:t>
      </w:r>
      <w:r>
        <w:rPr>
          <w:rFonts w:ascii="Times New Roman" w:hAnsi="Times New Roman"/>
          <w:sz w:val="24"/>
          <w:szCs w:val="24"/>
        </w:rPr>
        <w:t>5 год и плановый период 2016 и 2017</w:t>
      </w:r>
      <w:r w:rsidRPr="003860EC">
        <w:rPr>
          <w:rFonts w:ascii="Times New Roman" w:hAnsi="Times New Roman"/>
          <w:sz w:val="24"/>
          <w:szCs w:val="24"/>
        </w:rPr>
        <w:t xml:space="preserve"> годов» предусмотрено утверждение объема бюджетных ассигнований дорожного фонда Амурской области в размере прогнозируемого объема источников его формирования, в том числе:</w:t>
      </w:r>
    </w:p>
    <w:p w:rsidR="00696B03" w:rsidRPr="00075824" w:rsidRDefault="00696B03" w:rsidP="00DA5F4F">
      <w:pPr>
        <w:pStyle w:val="ad"/>
        <w:numPr>
          <w:ilvl w:val="0"/>
          <w:numId w:val="11"/>
        </w:numPr>
        <w:spacing w:after="0" w:line="240" w:lineRule="auto"/>
        <w:jc w:val="both"/>
        <w:rPr>
          <w:rFonts w:ascii="Times New Roman" w:hAnsi="Times New Roman"/>
          <w:sz w:val="24"/>
          <w:szCs w:val="24"/>
        </w:rPr>
      </w:pPr>
      <w:r>
        <w:rPr>
          <w:rFonts w:ascii="Times New Roman" w:hAnsi="Times New Roman"/>
          <w:sz w:val="24"/>
          <w:szCs w:val="24"/>
        </w:rPr>
        <w:t>на 2015 год – 2345504,0</w:t>
      </w:r>
      <w:r w:rsidRPr="00075824">
        <w:rPr>
          <w:rFonts w:ascii="Times New Roman" w:hAnsi="Times New Roman"/>
          <w:sz w:val="24"/>
          <w:szCs w:val="24"/>
        </w:rPr>
        <w:t xml:space="preserve"> тыс. рублей;</w:t>
      </w:r>
    </w:p>
    <w:p w:rsidR="00696B03" w:rsidRPr="00075824" w:rsidRDefault="00696B03" w:rsidP="00DA5F4F">
      <w:pPr>
        <w:pStyle w:val="ad"/>
        <w:numPr>
          <w:ilvl w:val="0"/>
          <w:numId w:val="11"/>
        </w:numPr>
        <w:spacing w:after="0" w:line="240" w:lineRule="auto"/>
        <w:jc w:val="both"/>
        <w:rPr>
          <w:rFonts w:ascii="Times New Roman" w:hAnsi="Times New Roman"/>
          <w:sz w:val="24"/>
          <w:szCs w:val="24"/>
        </w:rPr>
      </w:pPr>
      <w:r>
        <w:rPr>
          <w:rFonts w:ascii="Times New Roman" w:hAnsi="Times New Roman"/>
          <w:sz w:val="24"/>
          <w:szCs w:val="24"/>
        </w:rPr>
        <w:t>на 2016 год – 2275048,0</w:t>
      </w:r>
      <w:r w:rsidRPr="00075824">
        <w:rPr>
          <w:rFonts w:ascii="Times New Roman" w:hAnsi="Times New Roman"/>
          <w:sz w:val="24"/>
          <w:szCs w:val="24"/>
        </w:rPr>
        <w:t xml:space="preserve"> тыс. рублей;</w:t>
      </w:r>
    </w:p>
    <w:p w:rsidR="00696B03" w:rsidRPr="00075824" w:rsidRDefault="00696B03" w:rsidP="00DA5F4F">
      <w:pPr>
        <w:pStyle w:val="ad"/>
        <w:numPr>
          <w:ilvl w:val="0"/>
          <w:numId w:val="11"/>
        </w:numPr>
        <w:spacing w:after="0" w:line="240" w:lineRule="auto"/>
        <w:jc w:val="both"/>
        <w:rPr>
          <w:rFonts w:ascii="Times New Roman" w:hAnsi="Times New Roman"/>
          <w:sz w:val="24"/>
          <w:szCs w:val="24"/>
        </w:rPr>
      </w:pPr>
      <w:r>
        <w:rPr>
          <w:rFonts w:ascii="Times New Roman" w:hAnsi="Times New Roman"/>
          <w:sz w:val="24"/>
          <w:szCs w:val="24"/>
        </w:rPr>
        <w:t>на 2017 год – 2250311</w:t>
      </w:r>
      <w:r w:rsidRPr="00075824">
        <w:rPr>
          <w:rFonts w:ascii="Times New Roman" w:hAnsi="Times New Roman"/>
          <w:sz w:val="24"/>
          <w:szCs w:val="24"/>
        </w:rPr>
        <w:t>,9 тыс. рублей.</w:t>
      </w:r>
    </w:p>
    <w:p w:rsidR="00696B03" w:rsidRDefault="00696B03" w:rsidP="00696B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Динамика объема ассигнований </w:t>
      </w:r>
      <w:r w:rsidR="000A4FD9" w:rsidRPr="003860EC">
        <w:rPr>
          <w:rFonts w:ascii="Times New Roman" w:hAnsi="Times New Roman"/>
          <w:sz w:val="24"/>
          <w:szCs w:val="24"/>
        </w:rPr>
        <w:t xml:space="preserve">дорожного фонда Амурской области </w:t>
      </w:r>
      <w:r>
        <w:rPr>
          <w:rFonts w:ascii="Times New Roman" w:hAnsi="Times New Roman"/>
          <w:sz w:val="24"/>
          <w:szCs w:val="24"/>
        </w:rPr>
        <w:t>приведена на рисунке 18.</w:t>
      </w:r>
    </w:p>
    <w:p w:rsidR="00696B03" w:rsidRDefault="00696B03" w:rsidP="00696B03">
      <w:pPr>
        <w:spacing w:after="0" w:line="240" w:lineRule="auto"/>
        <w:ind w:firstLine="709"/>
        <w:jc w:val="both"/>
        <w:rPr>
          <w:rFonts w:ascii="Times New Roman" w:hAnsi="Times New Roman"/>
          <w:sz w:val="24"/>
          <w:szCs w:val="24"/>
        </w:rPr>
      </w:pPr>
    </w:p>
    <w:p w:rsidR="00696B03" w:rsidRPr="00A80758" w:rsidRDefault="00696B03" w:rsidP="00696B03">
      <w:pPr>
        <w:spacing w:after="0" w:line="240" w:lineRule="auto"/>
        <w:jc w:val="both"/>
        <w:rPr>
          <w:rFonts w:ascii="Times New Roman" w:hAnsi="Times New Roman"/>
          <w:sz w:val="24"/>
          <w:szCs w:val="24"/>
        </w:rPr>
      </w:pPr>
    </w:p>
    <w:p w:rsidR="000A4FD9" w:rsidRDefault="000A4FD9" w:rsidP="00696B03">
      <w:pPr>
        <w:spacing w:after="0" w:line="240" w:lineRule="auto"/>
        <w:jc w:val="center"/>
        <w:rPr>
          <w:rFonts w:ascii="Times New Roman" w:hAnsi="Times New Roman"/>
          <w:b/>
          <w:sz w:val="24"/>
          <w:szCs w:val="24"/>
        </w:rPr>
      </w:pPr>
      <w:r>
        <w:rPr>
          <w:rFonts w:ascii="Times New Roman" w:hAnsi="Times New Roman"/>
          <w:noProof/>
          <w:sz w:val="24"/>
          <w:szCs w:val="24"/>
        </w:rPr>
        <w:lastRenderedPageBreak/>
        <w:drawing>
          <wp:inline distT="0" distB="0" distL="0" distR="0" wp14:anchorId="6C9C909B" wp14:editId="4D64783A">
            <wp:extent cx="5943600" cy="326707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96B03" w:rsidRPr="00A80758" w:rsidRDefault="00696B03" w:rsidP="00696B03">
      <w:pPr>
        <w:spacing w:after="0" w:line="240" w:lineRule="auto"/>
        <w:jc w:val="center"/>
        <w:rPr>
          <w:rFonts w:ascii="Times New Roman" w:hAnsi="Times New Roman"/>
          <w:b/>
          <w:sz w:val="24"/>
          <w:szCs w:val="24"/>
        </w:rPr>
      </w:pPr>
      <w:r>
        <w:rPr>
          <w:rFonts w:ascii="Times New Roman" w:hAnsi="Times New Roman"/>
          <w:b/>
          <w:sz w:val="24"/>
          <w:szCs w:val="24"/>
        </w:rPr>
        <w:t xml:space="preserve">Рис. 18 </w:t>
      </w:r>
      <w:r w:rsidRPr="00A80758">
        <w:rPr>
          <w:rFonts w:ascii="Times New Roman" w:hAnsi="Times New Roman"/>
          <w:b/>
          <w:sz w:val="24"/>
          <w:szCs w:val="24"/>
        </w:rPr>
        <w:t>– Прогнозируемый объем ассигнований до</w:t>
      </w:r>
      <w:r>
        <w:rPr>
          <w:rFonts w:ascii="Times New Roman" w:hAnsi="Times New Roman"/>
          <w:b/>
          <w:sz w:val="24"/>
          <w:szCs w:val="24"/>
        </w:rPr>
        <w:t>рожного фонда на 2014-2017 годы</w:t>
      </w:r>
    </w:p>
    <w:p w:rsidR="00696B03" w:rsidRPr="00FB1F43" w:rsidRDefault="00696B03" w:rsidP="00696B03">
      <w:pPr>
        <w:spacing w:after="0" w:line="240" w:lineRule="auto"/>
        <w:ind w:firstLine="142"/>
        <w:jc w:val="center"/>
        <w:rPr>
          <w:rFonts w:ascii="Times New Roman" w:hAnsi="Times New Roman"/>
          <w:b/>
          <w:sz w:val="24"/>
          <w:szCs w:val="24"/>
        </w:rPr>
      </w:pPr>
    </w:p>
    <w:p w:rsidR="00696B03" w:rsidRDefault="00696B03" w:rsidP="00696B03">
      <w:pPr>
        <w:spacing w:after="0" w:line="240" w:lineRule="auto"/>
        <w:ind w:firstLine="709"/>
        <w:jc w:val="both"/>
        <w:rPr>
          <w:rFonts w:ascii="Times New Roman" w:hAnsi="Times New Roman"/>
          <w:sz w:val="24"/>
          <w:szCs w:val="24"/>
        </w:rPr>
      </w:pPr>
      <w:r w:rsidRPr="003860EC">
        <w:rPr>
          <w:rFonts w:ascii="Times New Roman" w:hAnsi="Times New Roman"/>
          <w:sz w:val="24"/>
          <w:szCs w:val="24"/>
        </w:rPr>
        <w:t>Одним из основных источников формирования дорожного фонда являются 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П</w:t>
      </w:r>
      <w:r>
        <w:rPr>
          <w:rFonts w:ascii="Times New Roman" w:hAnsi="Times New Roman"/>
          <w:sz w:val="24"/>
          <w:szCs w:val="24"/>
        </w:rPr>
        <w:t>оступление данных доходов в 2015</w:t>
      </w:r>
      <w:r w:rsidRPr="003860EC">
        <w:rPr>
          <w:rFonts w:ascii="Times New Roman" w:hAnsi="Times New Roman"/>
          <w:sz w:val="24"/>
          <w:szCs w:val="24"/>
        </w:rPr>
        <w:t xml:space="preserve"> году предусмотрено в объеме </w:t>
      </w:r>
      <w:r>
        <w:rPr>
          <w:rFonts w:ascii="Times New Roman" w:hAnsi="Times New Roman"/>
          <w:sz w:val="24"/>
          <w:szCs w:val="24"/>
        </w:rPr>
        <w:t>1029406,0</w:t>
      </w:r>
      <w:r w:rsidRPr="003860EC">
        <w:rPr>
          <w:rFonts w:ascii="Times New Roman" w:hAnsi="Times New Roman"/>
          <w:sz w:val="24"/>
          <w:szCs w:val="24"/>
        </w:rPr>
        <w:t xml:space="preserve"> тыс. рублей,</w:t>
      </w:r>
      <w:r>
        <w:rPr>
          <w:rFonts w:ascii="Times New Roman" w:hAnsi="Times New Roman"/>
          <w:sz w:val="24"/>
          <w:szCs w:val="24"/>
        </w:rPr>
        <w:t xml:space="preserve"> что выше уточненного плана 2014 года на 12,7</w:t>
      </w:r>
      <w:r w:rsidRPr="00A530CB">
        <w:rPr>
          <w:rFonts w:ascii="Times New Roman" w:hAnsi="Times New Roman"/>
          <w:sz w:val="24"/>
          <w:szCs w:val="24"/>
        </w:rPr>
        <w:t xml:space="preserve"> </w:t>
      </w:r>
      <w:r>
        <w:rPr>
          <w:rFonts w:ascii="Times New Roman" w:hAnsi="Times New Roman"/>
          <w:sz w:val="24"/>
          <w:szCs w:val="24"/>
        </w:rPr>
        <w:t>процента</w:t>
      </w:r>
      <w:r w:rsidRPr="003860EC">
        <w:rPr>
          <w:rFonts w:ascii="Times New Roman" w:hAnsi="Times New Roman"/>
          <w:sz w:val="24"/>
          <w:szCs w:val="24"/>
        </w:rPr>
        <w:t xml:space="preserve"> и ожидаемого ис</w:t>
      </w:r>
      <w:r>
        <w:rPr>
          <w:rFonts w:ascii="Times New Roman" w:hAnsi="Times New Roman"/>
          <w:sz w:val="24"/>
          <w:szCs w:val="24"/>
        </w:rPr>
        <w:t>полнения текущего года - на 12,9</w:t>
      </w:r>
      <w:r w:rsidRPr="003860EC">
        <w:rPr>
          <w:rFonts w:ascii="Times New Roman" w:hAnsi="Times New Roman"/>
          <w:sz w:val="24"/>
          <w:szCs w:val="24"/>
        </w:rPr>
        <w:t xml:space="preserve"> процента. Удельный вес доходов от уплаты акцизов на автомобильный бензин, производимый на террито</w:t>
      </w:r>
      <w:r>
        <w:rPr>
          <w:rFonts w:ascii="Times New Roman" w:hAnsi="Times New Roman"/>
          <w:sz w:val="24"/>
          <w:szCs w:val="24"/>
        </w:rPr>
        <w:t>рии Российской Федерации, в 2015</w:t>
      </w:r>
      <w:r w:rsidRPr="003860EC">
        <w:rPr>
          <w:rFonts w:ascii="Times New Roman" w:hAnsi="Times New Roman"/>
          <w:sz w:val="24"/>
          <w:szCs w:val="24"/>
        </w:rPr>
        <w:t xml:space="preserve"> году составляет </w:t>
      </w:r>
      <w:r>
        <w:rPr>
          <w:rFonts w:ascii="Times New Roman" w:hAnsi="Times New Roman"/>
          <w:sz w:val="24"/>
          <w:szCs w:val="24"/>
        </w:rPr>
        <w:t xml:space="preserve">43,9 </w:t>
      </w:r>
      <w:r w:rsidRPr="003860EC">
        <w:rPr>
          <w:rFonts w:ascii="Times New Roman" w:hAnsi="Times New Roman"/>
          <w:sz w:val="24"/>
          <w:szCs w:val="24"/>
        </w:rPr>
        <w:t>п</w:t>
      </w:r>
      <w:r>
        <w:rPr>
          <w:rFonts w:ascii="Times New Roman" w:hAnsi="Times New Roman"/>
          <w:sz w:val="24"/>
          <w:szCs w:val="24"/>
        </w:rPr>
        <w:t>роцента, в плановом периоде 2016 и 2017 годов – 45,6</w:t>
      </w:r>
      <w:r w:rsidRPr="003860EC">
        <w:rPr>
          <w:rFonts w:ascii="Times New Roman" w:hAnsi="Times New Roman"/>
          <w:sz w:val="24"/>
          <w:szCs w:val="24"/>
        </w:rPr>
        <w:t xml:space="preserve"> и </w:t>
      </w:r>
      <w:r w:rsidR="000A4FD9">
        <w:rPr>
          <w:rFonts w:ascii="Times New Roman" w:hAnsi="Times New Roman"/>
          <w:sz w:val="24"/>
          <w:szCs w:val="24"/>
        </w:rPr>
        <w:br/>
      </w:r>
      <w:r>
        <w:rPr>
          <w:rFonts w:ascii="Times New Roman" w:hAnsi="Times New Roman"/>
          <w:sz w:val="24"/>
          <w:szCs w:val="24"/>
        </w:rPr>
        <w:t>46,5</w:t>
      </w:r>
      <w:r w:rsidRPr="003860EC">
        <w:rPr>
          <w:rFonts w:ascii="Times New Roman" w:hAnsi="Times New Roman"/>
          <w:sz w:val="24"/>
          <w:szCs w:val="24"/>
        </w:rPr>
        <w:t xml:space="preserve"> процента, соответственно.</w:t>
      </w:r>
    </w:p>
    <w:p w:rsidR="00696B03" w:rsidRDefault="00696B03" w:rsidP="00696B03">
      <w:pPr>
        <w:spacing w:after="0" w:line="240" w:lineRule="auto"/>
        <w:ind w:firstLine="709"/>
        <w:jc w:val="both"/>
        <w:rPr>
          <w:rFonts w:ascii="Times New Roman" w:hAnsi="Times New Roman"/>
          <w:sz w:val="24"/>
          <w:szCs w:val="24"/>
        </w:rPr>
      </w:pPr>
      <w:r>
        <w:rPr>
          <w:rFonts w:ascii="Times New Roman" w:hAnsi="Times New Roman"/>
          <w:sz w:val="24"/>
          <w:szCs w:val="24"/>
        </w:rPr>
        <w:t>В 2015</w:t>
      </w:r>
      <w:r w:rsidRPr="003860EC">
        <w:rPr>
          <w:rFonts w:ascii="Times New Roman" w:hAnsi="Times New Roman"/>
          <w:sz w:val="24"/>
          <w:szCs w:val="24"/>
        </w:rPr>
        <w:t xml:space="preserve"> году объем доходов от уплаты акцизов на дизельное топливо, подлежащих распределению в консолидированные бюджеты субъектов Российской Федерации, п</w:t>
      </w:r>
      <w:r>
        <w:rPr>
          <w:rFonts w:ascii="Times New Roman" w:hAnsi="Times New Roman"/>
          <w:sz w:val="24"/>
          <w:szCs w:val="24"/>
        </w:rPr>
        <w:t>редусмотрен в размере 511304,0</w:t>
      </w:r>
      <w:r w:rsidRPr="003860EC">
        <w:rPr>
          <w:rFonts w:ascii="Times New Roman" w:hAnsi="Times New Roman"/>
          <w:sz w:val="24"/>
          <w:szCs w:val="24"/>
        </w:rPr>
        <w:t xml:space="preserve">тыс. рублей, что </w:t>
      </w:r>
      <w:r>
        <w:rPr>
          <w:rFonts w:ascii="Times New Roman" w:hAnsi="Times New Roman"/>
          <w:sz w:val="24"/>
          <w:szCs w:val="24"/>
        </w:rPr>
        <w:t>ниже</w:t>
      </w:r>
      <w:r w:rsidRPr="003860EC">
        <w:rPr>
          <w:rFonts w:ascii="Times New Roman" w:hAnsi="Times New Roman"/>
          <w:sz w:val="24"/>
          <w:szCs w:val="24"/>
        </w:rPr>
        <w:t xml:space="preserve"> ут</w:t>
      </w:r>
      <w:r>
        <w:rPr>
          <w:rFonts w:ascii="Times New Roman" w:hAnsi="Times New Roman"/>
          <w:sz w:val="24"/>
          <w:szCs w:val="24"/>
        </w:rPr>
        <w:t xml:space="preserve">очненного плана поступлений </w:t>
      </w:r>
      <w:r w:rsidR="00CE3D59">
        <w:rPr>
          <w:rFonts w:ascii="Times New Roman" w:hAnsi="Times New Roman"/>
          <w:sz w:val="24"/>
          <w:szCs w:val="24"/>
        </w:rPr>
        <w:br/>
      </w:r>
      <w:r>
        <w:rPr>
          <w:rFonts w:ascii="Times New Roman" w:hAnsi="Times New Roman"/>
          <w:sz w:val="24"/>
          <w:szCs w:val="24"/>
        </w:rPr>
        <w:t>2014 года на 27,4</w:t>
      </w:r>
      <w:r w:rsidRPr="003860EC">
        <w:rPr>
          <w:rFonts w:ascii="Times New Roman" w:hAnsi="Times New Roman"/>
          <w:sz w:val="24"/>
          <w:szCs w:val="24"/>
        </w:rPr>
        <w:t xml:space="preserve"> процента. Удельный вес указанных доходов в общем объеме бюджетных ассигнований до</w:t>
      </w:r>
      <w:r>
        <w:rPr>
          <w:rFonts w:ascii="Times New Roman" w:hAnsi="Times New Roman"/>
          <w:sz w:val="24"/>
          <w:szCs w:val="24"/>
        </w:rPr>
        <w:t>рожного фонда составляет: в 2015</w:t>
      </w:r>
      <w:r w:rsidRPr="003860EC">
        <w:rPr>
          <w:rFonts w:ascii="Times New Roman" w:hAnsi="Times New Roman"/>
          <w:sz w:val="24"/>
          <w:szCs w:val="24"/>
        </w:rPr>
        <w:t xml:space="preserve"> году –</w:t>
      </w:r>
      <w:r>
        <w:rPr>
          <w:rFonts w:ascii="Times New Roman" w:hAnsi="Times New Roman"/>
          <w:sz w:val="24"/>
          <w:szCs w:val="24"/>
        </w:rPr>
        <w:t xml:space="preserve"> 21,8 </w:t>
      </w:r>
      <w:r w:rsidRPr="003860EC">
        <w:rPr>
          <w:rFonts w:ascii="Times New Roman" w:hAnsi="Times New Roman"/>
          <w:sz w:val="24"/>
          <w:szCs w:val="24"/>
        </w:rPr>
        <w:t>процент</w:t>
      </w:r>
      <w:r>
        <w:rPr>
          <w:rFonts w:ascii="Times New Roman" w:hAnsi="Times New Roman"/>
          <w:sz w:val="24"/>
          <w:szCs w:val="24"/>
        </w:rPr>
        <w:t>а</w:t>
      </w:r>
      <w:r w:rsidRPr="003860EC">
        <w:rPr>
          <w:rFonts w:ascii="Times New Roman" w:hAnsi="Times New Roman"/>
          <w:sz w:val="24"/>
          <w:szCs w:val="24"/>
        </w:rPr>
        <w:t>, в плановом периоде 201</w:t>
      </w:r>
      <w:r>
        <w:rPr>
          <w:rFonts w:ascii="Times New Roman" w:hAnsi="Times New Roman"/>
          <w:sz w:val="24"/>
          <w:szCs w:val="24"/>
        </w:rPr>
        <w:t>6 и 2017</w:t>
      </w:r>
      <w:r w:rsidRPr="003860EC">
        <w:rPr>
          <w:rFonts w:ascii="Times New Roman" w:hAnsi="Times New Roman"/>
          <w:sz w:val="24"/>
          <w:szCs w:val="24"/>
        </w:rPr>
        <w:t xml:space="preserve"> годов –</w:t>
      </w:r>
      <w:r>
        <w:rPr>
          <w:rFonts w:ascii="Times New Roman" w:hAnsi="Times New Roman"/>
          <w:sz w:val="24"/>
          <w:szCs w:val="24"/>
        </w:rPr>
        <w:t xml:space="preserve"> 18,2 и 14,9 процента,</w:t>
      </w:r>
      <w:r w:rsidRPr="003860EC">
        <w:rPr>
          <w:rFonts w:ascii="Times New Roman" w:hAnsi="Times New Roman"/>
          <w:sz w:val="24"/>
          <w:szCs w:val="24"/>
        </w:rPr>
        <w:t xml:space="preserve"> соответственно.</w:t>
      </w:r>
    </w:p>
    <w:p w:rsidR="00696B03" w:rsidRPr="001E56CF" w:rsidRDefault="00696B03" w:rsidP="00696B03">
      <w:pPr>
        <w:spacing w:after="0" w:line="240" w:lineRule="auto"/>
        <w:ind w:firstLine="709"/>
        <w:jc w:val="both"/>
        <w:rPr>
          <w:rFonts w:ascii="Times New Roman" w:hAnsi="Times New Roman"/>
          <w:sz w:val="24"/>
          <w:szCs w:val="24"/>
        </w:rPr>
      </w:pPr>
      <w:r w:rsidRPr="001E56CF">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предусмотрены в 2015 году в размере </w:t>
      </w:r>
      <w:r>
        <w:rPr>
          <w:rFonts w:ascii="Times New Roman" w:hAnsi="Times New Roman"/>
          <w:sz w:val="24"/>
          <w:szCs w:val="24"/>
        </w:rPr>
        <w:br/>
      </w:r>
      <w:r w:rsidRPr="001E56CF">
        <w:rPr>
          <w:rFonts w:ascii="Times New Roman" w:hAnsi="Times New Roman"/>
          <w:sz w:val="24"/>
          <w:szCs w:val="24"/>
        </w:rPr>
        <w:t xml:space="preserve">13124,0 тыс. рублей, что выше уточненного плана текущего года на 3,5 процента и ожидаемого поступления </w:t>
      </w:r>
      <w:r>
        <w:rPr>
          <w:rFonts w:ascii="Times New Roman" w:hAnsi="Times New Roman"/>
          <w:sz w:val="24"/>
          <w:szCs w:val="24"/>
        </w:rPr>
        <w:t xml:space="preserve">- </w:t>
      </w:r>
      <w:r w:rsidRPr="001E56CF">
        <w:rPr>
          <w:rFonts w:ascii="Times New Roman" w:hAnsi="Times New Roman"/>
          <w:sz w:val="24"/>
          <w:szCs w:val="24"/>
        </w:rPr>
        <w:t>на 6,1 процента. Удельный вес указанных поступлений в общем объеме бюджетных ассигнований дорожного фонда  в 2015 году и плановом периоде 2016 и 2017 годов – 0,6 процента.</w:t>
      </w:r>
    </w:p>
    <w:p w:rsidR="00696B03" w:rsidRPr="001E56CF" w:rsidRDefault="00696B03" w:rsidP="00696B03">
      <w:pPr>
        <w:spacing w:after="0" w:line="240" w:lineRule="auto"/>
        <w:ind w:firstLine="709"/>
        <w:jc w:val="both"/>
        <w:rPr>
          <w:rFonts w:ascii="Times New Roman" w:hAnsi="Times New Roman"/>
          <w:sz w:val="24"/>
          <w:szCs w:val="24"/>
        </w:rPr>
      </w:pPr>
      <w:r w:rsidRPr="001E56CF">
        <w:rPr>
          <w:rFonts w:ascii="Times New Roman" w:hAnsi="Times New Roman"/>
          <w:sz w:val="24"/>
          <w:szCs w:val="24"/>
        </w:rPr>
        <w:t xml:space="preserve">Доходы от уплаты акцизов на прямогонный бензин, производимый на территории Российской Федерации, предусмотрены  в 2015 году в размере 5221,0 тыс. рублей, что ниже планового показателя текущего года в 6,6 раза. Удельный вес доходов от уплаты акцизов на прямогонный бензин, производимый на территории Российской Федерации, в общем объеме бюджетных ассигнований дорожного фонда  в 2015 году и плановом периоде 2016 года – </w:t>
      </w:r>
      <w:r>
        <w:rPr>
          <w:rFonts w:ascii="Times New Roman" w:hAnsi="Times New Roman"/>
          <w:sz w:val="24"/>
          <w:szCs w:val="24"/>
        </w:rPr>
        <w:br/>
      </w:r>
      <w:r w:rsidRPr="001E56CF">
        <w:rPr>
          <w:rFonts w:ascii="Times New Roman" w:hAnsi="Times New Roman"/>
          <w:sz w:val="24"/>
          <w:szCs w:val="24"/>
        </w:rPr>
        <w:t>0,2 процента, в 2017 году – 0,3 процента.</w:t>
      </w:r>
    </w:p>
    <w:p w:rsidR="00696B03" w:rsidRPr="003860EC" w:rsidRDefault="00696B03" w:rsidP="00696B03">
      <w:pPr>
        <w:spacing w:after="0" w:line="240" w:lineRule="auto"/>
        <w:ind w:firstLine="709"/>
        <w:jc w:val="both"/>
        <w:rPr>
          <w:rFonts w:ascii="Times New Roman" w:hAnsi="Times New Roman"/>
          <w:sz w:val="24"/>
          <w:szCs w:val="24"/>
        </w:rPr>
      </w:pPr>
      <w:r w:rsidRPr="003860EC">
        <w:rPr>
          <w:rFonts w:ascii="Times New Roman" w:hAnsi="Times New Roman"/>
          <w:sz w:val="24"/>
          <w:szCs w:val="24"/>
        </w:rPr>
        <w:t>Поступл</w:t>
      </w:r>
      <w:r>
        <w:rPr>
          <w:rFonts w:ascii="Times New Roman" w:hAnsi="Times New Roman"/>
          <w:sz w:val="24"/>
          <w:szCs w:val="24"/>
        </w:rPr>
        <w:t>ение транспортного налога в 2015</w:t>
      </w:r>
      <w:r w:rsidRPr="003860EC">
        <w:rPr>
          <w:rFonts w:ascii="Times New Roman" w:hAnsi="Times New Roman"/>
          <w:sz w:val="24"/>
          <w:szCs w:val="24"/>
        </w:rPr>
        <w:t xml:space="preserve"> год</w:t>
      </w:r>
      <w:r>
        <w:rPr>
          <w:rFonts w:ascii="Times New Roman" w:hAnsi="Times New Roman"/>
          <w:sz w:val="24"/>
          <w:szCs w:val="24"/>
        </w:rPr>
        <w:t xml:space="preserve">у предусмотрено в объеме </w:t>
      </w:r>
      <w:r>
        <w:rPr>
          <w:rFonts w:ascii="Times New Roman" w:hAnsi="Times New Roman"/>
          <w:sz w:val="24"/>
          <w:szCs w:val="24"/>
        </w:rPr>
        <w:br/>
        <w:t>781789</w:t>
      </w:r>
      <w:r w:rsidRPr="003860EC">
        <w:rPr>
          <w:rFonts w:ascii="Times New Roman" w:hAnsi="Times New Roman"/>
          <w:sz w:val="24"/>
          <w:szCs w:val="24"/>
        </w:rPr>
        <w:t>,0 тыс. рублей, чт</w:t>
      </w:r>
      <w:r>
        <w:rPr>
          <w:rFonts w:ascii="Times New Roman" w:hAnsi="Times New Roman"/>
          <w:sz w:val="24"/>
          <w:szCs w:val="24"/>
        </w:rPr>
        <w:t>о выше планового показателя и ожидаемого исполнения текущего года на 16,5</w:t>
      </w:r>
      <w:r w:rsidRPr="003860EC">
        <w:rPr>
          <w:rFonts w:ascii="Times New Roman" w:hAnsi="Times New Roman"/>
          <w:sz w:val="24"/>
          <w:szCs w:val="24"/>
        </w:rPr>
        <w:t xml:space="preserve"> процента. Удельный вес транспортного налога в общем объеме бюджетных асс</w:t>
      </w:r>
      <w:r>
        <w:rPr>
          <w:rFonts w:ascii="Times New Roman" w:hAnsi="Times New Roman"/>
          <w:sz w:val="24"/>
          <w:szCs w:val="24"/>
        </w:rPr>
        <w:t xml:space="preserve">игнований дорожного фонда в 2015 году составляет 33,3 процента, в 2016 году – </w:t>
      </w:r>
      <w:r>
        <w:rPr>
          <w:rFonts w:ascii="Times New Roman" w:hAnsi="Times New Roman"/>
          <w:sz w:val="24"/>
          <w:szCs w:val="24"/>
        </w:rPr>
        <w:br/>
        <w:t>35,2 процента, в 2017 году – 37,5</w:t>
      </w:r>
      <w:r w:rsidRPr="003860EC">
        <w:rPr>
          <w:rFonts w:ascii="Times New Roman" w:hAnsi="Times New Roman"/>
          <w:sz w:val="24"/>
          <w:szCs w:val="24"/>
        </w:rPr>
        <w:t xml:space="preserve"> процента.</w:t>
      </w:r>
    </w:p>
    <w:p w:rsidR="00696B03" w:rsidRDefault="00696B03" w:rsidP="00696B03">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lastRenderedPageBreak/>
        <w:t>П</w:t>
      </w:r>
      <w:r w:rsidRPr="00F621DF">
        <w:rPr>
          <w:rFonts w:ascii="Times New Roman" w:hAnsi="Times New Roman"/>
          <w:sz w:val="24"/>
          <w:szCs w:val="24"/>
        </w:rPr>
        <w:t>о отношению к 2014 году ассигнования дорожного фонда 2015 года ниже в 2,7 раза.</w:t>
      </w:r>
      <w:r>
        <w:rPr>
          <w:rFonts w:ascii="Times New Roman" w:hAnsi="Times New Roman"/>
          <w:sz w:val="24"/>
          <w:szCs w:val="24"/>
        </w:rPr>
        <w:t xml:space="preserve"> Прогнозирование в 2015</w:t>
      </w:r>
      <w:r w:rsidRPr="003860EC">
        <w:rPr>
          <w:rFonts w:ascii="Times New Roman" w:hAnsi="Times New Roman"/>
          <w:sz w:val="24"/>
          <w:szCs w:val="24"/>
        </w:rPr>
        <w:t xml:space="preserve"> году объема ассигнований дорожного фонда </w:t>
      </w:r>
      <w:r>
        <w:rPr>
          <w:rFonts w:ascii="Times New Roman" w:hAnsi="Times New Roman"/>
          <w:sz w:val="24"/>
          <w:szCs w:val="24"/>
        </w:rPr>
        <w:t xml:space="preserve">произведено без учета средств федерального бюджета, предусмотренных на финансовое обеспечение мероприятий, реализуемых в рамках федеральных программ (в текущем году объем средств федерального бюджета, учтенных в ассигнованиях дорожного фонда, составляет 61,1 процента). </w:t>
      </w:r>
      <w:r>
        <w:rPr>
          <w:rFonts w:ascii="Times New Roman" w:hAnsi="Times New Roman"/>
          <w:sz w:val="24"/>
          <w:szCs w:val="24"/>
        </w:rPr>
        <w:br/>
        <w:t xml:space="preserve">Кроме того, в соответствии с п. 2.1 статьи 179.4 Бюджетного кодекса Российской Федерации проектом федерального бюджета на 2015 год и на плановый период 2016 и 2017 годов, принятом в первом чтении, предусмотрено распределение субъектам Российской Федерации межбюджетных трансфертов </w:t>
      </w:r>
      <w:r>
        <w:rPr>
          <w:rFonts w:ascii="Times New Roman" w:eastAsiaTheme="minorHAnsi" w:hAnsi="Times New Roman"/>
          <w:sz w:val="24"/>
          <w:szCs w:val="24"/>
          <w:lang w:eastAsia="en-US"/>
        </w:rPr>
        <w:t>на финансовое обеспечение дорожной деятельности, в соответствии с которым Амурской области определены следующие объемы трансфертов:</w:t>
      </w:r>
    </w:p>
    <w:p w:rsidR="00696B03" w:rsidRPr="00590C1D" w:rsidRDefault="00696B03" w:rsidP="00DA5F4F">
      <w:pPr>
        <w:pStyle w:val="ad"/>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2015 год – 618468,7</w:t>
      </w:r>
      <w:r w:rsidRPr="00590C1D">
        <w:rPr>
          <w:rFonts w:ascii="Times New Roman" w:hAnsi="Times New Roman"/>
          <w:sz w:val="24"/>
          <w:szCs w:val="24"/>
        </w:rPr>
        <w:t xml:space="preserve"> тыс. рублей;</w:t>
      </w:r>
    </w:p>
    <w:p w:rsidR="00696B03" w:rsidRPr="00590C1D" w:rsidRDefault="00696B03" w:rsidP="00DA5F4F">
      <w:pPr>
        <w:pStyle w:val="ad"/>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2016 год – 504985,9</w:t>
      </w:r>
      <w:r w:rsidRPr="00590C1D">
        <w:rPr>
          <w:rFonts w:ascii="Times New Roman" w:hAnsi="Times New Roman"/>
          <w:sz w:val="24"/>
          <w:szCs w:val="24"/>
        </w:rPr>
        <w:t xml:space="preserve"> тыс. рублей;</w:t>
      </w:r>
    </w:p>
    <w:p w:rsidR="00696B03" w:rsidRDefault="00696B03" w:rsidP="00DA5F4F">
      <w:pPr>
        <w:pStyle w:val="ad"/>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2017 год – 1022818,2</w:t>
      </w:r>
      <w:r w:rsidRPr="00590C1D">
        <w:rPr>
          <w:rFonts w:ascii="Times New Roman" w:hAnsi="Times New Roman"/>
          <w:sz w:val="24"/>
          <w:szCs w:val="24"/>
        </w:rPr>
        <w:t xml:space="preserve"> тыс. рублей.</w:t>
      </w:r>
    </w:p>
    <w:p w:rsidR="00696B03" w:rsidRPr="00F621DF" w:rsidRDefault="00696B03" w:rsidP="00696B0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Поступления вышеназванных межбюджетных трансфертов из федерального бюджета также не учтены в объеме ассигнований дорожного фонда Амурской области на соответствующие финансовые годы.</w:t>
      </w:r>
    </w:p>
    <w:p w:rsidR="00696B03" w:rsidRPr="00C22D50" w:rsidRDefault="00696B03" w:rsidP="00696B03">
      <w:pPr>
        <w:spacing w:after="0" w:line="240" w:lineRule="auto"/>
        <w:ind w:firstLine="709"/>
        <w:jc w:val="both"/>
        <w:rPr>
          <w:rFonts w:ascii="Times New Roman" w:hAnsi="Times New Roman"/>
          <w:sz w:val="24"/>
          <w:szCs w:val="24"/>
        </w:rPr>
      </w:pPr>
      <w:r w:rsidRPr="003860EC">
        <w:rPr>
          <w:rFonts w:ascii="Times New Roman" w:hAnsi="Times New Roman"/>
          <w:sz w:val="24"/>
          <w:szCs w:val="24"/>
        </w:rPr>
        <w:t>Формирование дорожного фонда в разрезе источников</w:t>
      </w:r>
      <w:r>
        <w:rPr>
          <w:rFonts w:ascii="Times New Roman" w:hAnsi="Times New Roman"/>
          <w:sz w:val="24"/>
          <w:szCs w:val="24"/>
        </w:rPr>
        <w:t xml:space="preserve"> по прогнозу поступлений на 2015</w:t>
      </w:r>
      <w:r w:rsidRPr="003860EC">
        <w:rPr>
          <w:rFonts w:ascii="Times New Roman" w:hAnsi="Times New Roman"/>
          <w:sz w:val="24"/>
          <w:szCs w:val="24"/>
        </w:rPr>
        <w:t xml:space="preserve"> год и плановый период 201</w:t>
      </w:r>
      <w:r>
        <w:rPr>
          <w:rFonts w:ascii="Times New Roman" w:hAnsi="Times New Roman"/>
          <w:sz w:val="24"/>
          <w:szCs w:val="24"/>
        </w:rPr>
        <w:t>6</w:t>
      </w:r>
      <w:r w:rsidRPr="003860EC">
        <w:rPr>
          <w:rFonts w:ascii="Times New Roman" w:hAnsi="Times New Roman"/>
          <w:sz w:val="24"/>
          <w:szCs w:val="24"/>
        </w:rPr>
        <w:t xml:space="preserve"> и 201</w:t>
      </w:r>
      <w:r>
        <w:rPr>
          <w:rFonts w:ascii="Times New Roman" w:hAnsi="Times New Roman"/>
          <w:sz w:val="24"/>
          <w:szCs w:val="24"/>
        </w:rPr>
        <w:t>7</w:t>
      </w:r>
      <w:r w:rsidRPr="003860EC">
        <w:rPr>
          <w:rFonts w:ascii="Times New Roman" w:hAnsi="Times New Roman"/>
          <w:sz w:val="24"/>
          <w:szCs w:val="24"/>
        </w:rPr>
        <w:t xml:space="preserve"> годов </w:t>
      </w:r>
      <w:r>
        <w:rPr>
          <w:rFonts w:ascii="Times New Roman" w:hAnsi="Times New Roman"/>
          <w:sz w:val="24"/>
          <w:szCs w:val="24"/>
        </w:rPr>
        <w:t>приведено в таблице 4.</w:t>
      </w:r>
    </w:p>
    <w:p w:rsidR="00696B03" w:rsidRPr="00C22D50" w:rsidRDefault="00696B03" w:rsidP="00696B03">
      <w:pPr>
        <w:spacing w:after="0" w:line="240" w:lineRule="auto"/>
        <w:ind w:firstLine="709"/>
        <w:jc w:val="right"/>
        <w:rPr>
          <w:rFonts w:ascii="Times New Roman" w:hAnsi="Times New Roman"/>
          <w:sz w:val="24"/>
          <w:szCs w:val="24"/>
        </w:rPr>
      </w:pPr>
      <w:r>
        <w:rPr>
          <w:rFonts w:ascii="Times New Roman" w:hAnsi="Times New Roman"/>
          <w:sz w:val="24"/>
          <w:szCs w:val="24"/>
        </w:rPr>
        <w:t>Таблица 4</w:t>
      </w:r>
    </w:p>
    <w:p w:rsidR="00083EE0" w:rsidRDefault="00083EE0" w:rsidP="00696B03">
      <w:pPr>
        <w:spacing w:after="0" w:line="240" w:lineRule="auto"/>
        <w:ind w:firstLine="709"/>
        <w:jc w:val="center"/>
        <w:rPr>
          <w:rFonts w:ascii="Times New Roman" w:hAnsi="Times New Roman"/>
          <w:b/>
          <w:sz w:val="24"/>
          <w:szCs w:val="24"/>
        </w:rPr>
      </w:pPr>
    </w:p>
    <w:p w:rsidR="00696B03" w:rsidRPr="00745189" w:rsidRDefault="00696B03" w:rsidP="00696B03">
      <w:pPr>
        <w:spacing w:after="0" w:line="240" w:lineRule="auto"/>
        <w:ind w:firstLine="709"/>
        <w:jc w:val="center"/>
        <w:rPr>
          <w:rFonts w:ascii="Times New Roman" w:hAnsi="Times New Roman"/>
          <w:b/>
          <w:sz w:val="24"/>
          <w:szCs w:val="24"/>
        </w:rPr>
      </w:pPr>
      <w:r w:rsidRPr="00745189">
        <w:rPr>
          <w:rFonts w:ascii="Times New Roman" w:hAnsi="Times New Roman"/>
          <w:b/>
          <w:sz w:val="24"/>
          <w:szCs w:val="24"/>
        </w:rPr>
        <w:t xml:space="preserve">Источники формирования дорожного фонда </w:t>
      </w:r>
      <w:r w:rsidR="000A4FD9" w:rsidRPr="00745189">
        <w:rPr>
          <w:rFonts w:ascii="Times New Roman" w:hAnsi="Times New Roman"/>
          <w:b/>
          <w:sz w:val="24"/>
          <w:szCs w:val="24"/>
        </w:rPr>
        <w:t xml:space="preserve">Амурской области </w:t>
      </w:r>
      <w:r w:rsidR="00745189">
        <w:rPr>
          <w:rFonts w:ascii="Times New Roman" w:hAnsi="Times New Roman"/>
          <w:b/>
          <w:sz w:val="24"/>
          <w:szCs w:val="24"/>
        </w:rPr>
        <w:br/>
      </w:r>
      <w:r w:rsidR="000A4FD9" w:rsidRPr="00745189">
        <w:rPr>
          <w:rFonts w:ascii="Times New Roman" w:hAnsi="Times New Roman"/>
          <w:b/>
          <w:sz w:val="24"/>
          <w:szCs w:val="24"/>
        </w:rPr>
        <w:t>в 2015-2017 годах</w:t>
      </w:r>
    </w:p>
    <w:p w:rsidR="00696B03" w:rsidRDefault="00083EE0" w:rsidP="00696B03">
      <w:pPr>
        <w:spacing w:after="0" w:line="240" w:lineRule="auto"/>
        <w:ind w:firstLine="709"/>
        <w:jc w:val="right"/>
        <w:rPr>
          <w:rFonts w:ascii="Times New Roman" w:hAnsi="Times New Roman"/>
          <w:sz w:val="24"/>
          <w:szCs w:val="24"/>
        </w:rPr>
      </w:pPr>
      <w:r>
        <w:rPr>
          <w:rFonts w:ascii="Times New Roman" w:hAnsi="Times New Roman"/>
          <w:sz w:val="24"/>
          <w:szCs w:val="24"/>
        </w:rPr>
        <w:t>тыс. рублей</w:t>
      </w:r>
    </w:p>
    <w:p w:rsidR="00083EE0" w:rsidRPr="003860EC" w:rsidRDefault="00083EE0" w:rsidP="00696B03">
      <w:pPr>
        <w:spacing w:after="0" w:line="240" w:lineRule="auto"/>
        <w:ind w:firstLine="709"/>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417"/>
      </w:tblGrid>
      <w:tr w:rsidR="00696B03" w:rsidRPr="003860EC" w:rsidTr="000A4FD9">
        <w:trPr>
          <w:trHeight w:val="443"/>
        </w:trPr>
        <w:tc>
          <w:tcPr>
            <w:tcW w:w="5070"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sidRPr="003860EC">
              <w:rPr>
                <w:rFonts w:ascii="Times New Roman" w:hAnsi="Times New Roman"/>
                <w:sz w:val="24"/>
                <w:szCs w:val="24"/>
              </w:rPr>
              <w:t>Источники</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2015</w:t>
            </w:r>
            <w:r w:rsidRPr="003860EC">
              <w:rPr>
                <w:rFonts w:ascii="Times New Roman" w:hAnsi="Times New Roman"/>
                <w:sz w:val="24"/>
                <w:szCs w:val="24"/>
              </w:rPr>
              <w:t xml:space="preserve"> год</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2016</w:t>
            </w:r>
            <w:r w:rsidRPr="003860EC">
              <w:rPr>
                <w:rFonts w:ascii="Times New Roman" w:hAnsi="Times New Roman"/>
                <w:sz w:val="24"/>
                <w:szCs w:val="24"/>
              </w:rPr>
              <w:t xml:space="preserve"> год</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2017</w:t>
            </w:r>
            <w:r w:rsidRPr="003860EC">
              <w:rPr>
                <w:rFonts w:ascii="Times New Roman" w:hAnsi="Times New Roman"/>
                <w:sz w:val="24"/>
                <w:szCs w:val="24"/>
              </w:rPr>
              <w:t xml:space="preserve"> год</w:t>
            </w:r>
          </w:p>
        </w:tc>
      </w:tr>
      <w:tr w:rsidR="00CE3D59" w:rsidRPr="003860EC" w:rsidTr="00CE3D59">
        <w:trPr>
          <w:trHeight w:val="236"/>
        </w:trPr>
        <w:tc>
          <w:tcPr>
            <w:tcW w:w="5070" w:type="dxa"/>
            <w:shd w:val="clear" w:color="auto" w:fill="auto"/>
          </w:tcPr>
          <w:p w:rsidR="00CE3D59" w:rsidRPr="003860EC" w:rsidRDefault="00CE3D59" w:rsidP="00CE3D59">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CE3D59" w:rsidRDefault="00CE3D59" w:rsidP="00CE3D59">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CE3D59" w:rsidRDefault="00CE3D59" w:rsidP="00CE3D59">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shd w:val="clear" w:color="auto" w:fill="auto"/>
          </w:tcPr>
          <w:p w:rsidR="00CE3D59" w:rsidRDefault="00CE3D59" w:rsidP="00CE3D59">
            <w:pPr>
              <w:spacing w:after="0" w:line="240" w:lineRule="auto"/>
              <w:jc w:val="center"/>
              <w:rPr>
                <w:rFonts w:ascii="Times New Roman" w:hAnsi="Times New Roman"/>
                <w:sz w:val="24"/>
                <w:szCs w:val="24"/>
              </w:rPr>
            </w:pPr>
            <w:r>
              <w:rPr>
                <w:rFonts w:ascii="Times New Roman" w:hAnsi="Times New Roman"/>
                <w:sz w:val="24"/>
                <w:szCs w:val="24"/>
              </w:rPr>
              <w:t>4</w:t>
            </w:r>
          </w:p>
        </w:tc>
      </w:tr>
      <w:tr w:rsidR="00696B03" w:rsidRPr="003860EC" w:rsidTr="000A4FD9">
        <w:trPr>
          <w:trHeight w:val="974"/>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Доходы от уплаты акцизов на дизельное топливо</w:t>
            </w:r>
          </w:p>
          <w:p w:rsidR="00696B03" w:rsidRPr="003860EC" w:rsidRDefault="00696B03" w:rsidP="00AA49D1">
            <w:pPr>
              <w:spacing w:after="0" w:line="240" w:lineRule="auto"/>
              <w:rPr>
                <w:rFonts w:ascii="Times New Roman" w:hAnsi="Times New Roman"/>
                <w:i/>
                <w:sz w:val="24"/>
                <w:szCs w:val="24"/>
              </w:rPr>
            </w:pPr>
            <w:r w:rsidRPr="003860EC">
              <w:rPr>
                <w:rFonts w:ascii="Times New Roman" w:hAnsi="Times New Roman"/>
                <w:i/>
                <w:sz w:val="24"/>
                <w:szCs w:val="24"/>
              </w:rPr>
              <w:t>Удельный вес в общих доходах, %</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511304,0</w:t>
            </w:r>
          </w:p>
          <w:p w:rsidR="00696B03" w:rsidRPr="003860EC" w:rsidRDefault="00696B03" w:rsidP="00AA49D1">
            <w:pPr>
              <w:spacing w:after="0" w:line="240" w:lineRule="auto"/>
              <w:jc w:val="center"/>
              <w:rPr>
                <w:rFonts w:ascii="Times New Roman" w:hAnsi="Times New Roman"/>
                <w:i/>
                <w:sz w:val="24"/>
                <w:szCs w:val="24"/>
              </w:rPr>
            </w:pP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21,8</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414105,0</w:t>
            </w:r>
          </w:p>
          <w:p w:rsidR="00696B03" w:rsidRPr="003860EC" w:rsidRDefault="00696B03" w:rsidP="00AA49D1">
            <w:pPr>
              <w:spacing w:after="0" w:line="240" w:lineRule="auto"/>
              <w:jc w:val="center"/>
              <w:rPr>
                <w:rFonts w:ascii="Times New Roman" w:hAnsi="Times New Roman"/>
                <w:i/>
                <w:sz w:val="24"/>
                <w:szCs w:val="24"/>
              </w:rPr>
            </w:pP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18,2</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335384,0</w:t>
            </w:r>
          </w:p>
          <w:p w:rsidR="00696B03" w:rsidRPr="003860EC" w:rsidRDefault="00696B03" w:rsidP="00AA49D1">
            <w:pPr>
              <w:spacing w:after="0" w:line="240" w:lineRule="auto"/>
              <w:jc w:val="center"/>
              <w:rPr>
                <w:rFonts w:ascii="Times New Roman" w:hAnsi="Times New Roman"/>
                <w:i/>
                <w:sz w:val="24"/>
                <w:szCs w:val="24"/>
              </w:rPr>
            </w:pP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14,9</w:t>
            </w:r>
          </w:p>
        </w:tc>
      </w:tr>
      <w:tr w:rsidR="00696B03" w:rsidRPr="003860EC" w:rsidTr="000A4FD9">
        <w:trPr>
          <w:trHeight w:val="1271"/>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Доходы от уплаты акцизов на моторные масла для дизельных и (или) карбюраторных (инжекторных) двигателей</w:t>
            </w:r>
          </w:p>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i/>
                <w:sz w:val="24"/>
                <w:szCs w:val="24"/>
              </w:rPr>
              <w:t>Удельный вес в общих доходах, %</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13124,0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0,6</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12765,0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0,6</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12417,0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0,6</w:t>
            </w:r>
          </w:p>
        </w:tc>
      </w:tr>
      <w:tr w:rsidR="00696B03" w:rsidRPr="003860EC" w:rsidTr="000A4FD9">
        <w:trPr>
          <w:trHeight w:val="977"/>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Доходы от уплаты акцизов на автомобильный бензин, производимый на территории РФ</w:t>
            </w:r>
          </w:p>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i/>
                <w:sz w:val="24"/>
                <w:szCs w:val="24"/>
              </w:rPr>
              <w:t>Удельный вес в общих доходах, %</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1029406,0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43,9</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1038259,0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45,6</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1047188,0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46,5</w:t>
            </w:r>
          </w:p>
        </w:tc>
      </w:tr>
      <w:tr w:rsidR="00696B03" w:rsidRPr="003860EC" w:rsidTr="000A4FD9">
        <w:trPr>
          <w:trHeight w:val="978"/>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Доходы от уплаты акцизов на прямогонный бензин, производимый на территории РФ</w:t>
            </w:r>
          </w:p>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i/>
                <w:sz w:val="24"/>
                <w:szCs w:val="24"/>
              </w:rPr>
              <w:t>Удельный вес в общих доходах, %</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5221,0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0,2</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5472,0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0,2</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5713,0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0,3</w:t>
            </w:r>
          </w:p>
        </w:tc>
      </w:tr>
      <w:tr w:rsidR="00696B03" w:rsidRPr="003860EC" w:rsidTr="000A4FD9">
        <w:trPr>
          <w:trHeight w:val="709"/>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Транспортный налог</w:t>
            </w:r>
          </w:p>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i/>
                <w:sz w:val="24"/>
                <w:szCs w:val="24"/>
              </w:rPr>
              <w:t>Удельный вес в общих доходах, %</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781789,0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33,3</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799787,0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35,2</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844949,0</w:t>
            </w:r>
          </w:p>
          <w:p w:rsidR="00696B03" w:rsidRPr="003860EC" w:rsidRDefault="00696B03" w:rsidP="00AA49D1">
            <w:pPr>
              <w:spacing w:after="0" w:line="240" w:lineRule="auto"/>
              <w:jc w:val="center"/>
              <w:rPr>
                <w:rFonts w:ascii="Times New Roman" w:hAnsi="Times New Roman"/>
                <w:i/>
                <w:sz w:val="24"/>
                <w:szCs w:val="24"/>
              </w:rPr>
            </w:pPr>
            <w:r>
              <w:rPr>
                <w:rFonts w:ascii="Times New Roman" w:hAnsi="Times New Roman"/>
                <w:i/>
                <w:sz w:val="24"/>
                <w:szCs w:val="24"/>
              </w:rPr>
              <w:t>37,5</w:t>
            </w:r>
          </w:p>
        </w:tc>
      </w:tr>
      <w:tr w:rsidR="00696B03" w:rsidRPr="003860EC" w:rsidTr="000A4FD9">
        <w:trPr>
          <w:trHeight w:val="2108"/>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Государственная пошлина за выдачу органом исполнительной власти субъекта РФ специального разрешения на движение по а/дорогам транспортных средств, осуществляющих перевозки опасных, тяжеловесных и (или) крупногабаритных грузов</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240,0</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240</w:t>
            </w:r>
            <w:r w:rsidRPr="003860EC">
              <w:rPr>
                <w:rFonts w:ascii="Times New Roman" w:hAnsi="Times New Roman"/>
                <w:sz w:val="24"/>
                <w:szCs w:val="24"/>
              </w:rPr>
              <w:t>,0</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240</w:t>
            </w:r>
            <w:r w:rsidRPr="003860EC">
              <w:rPr>
                <w:rFonts w:ascii="Times New Roman" w:hAnsi="Times New Roman"/>
                <w:sz w:val="24"/>
                <w:szCs w:val="24"/>
              </w:rPr>
              <w:t>,0</w:t>
            </w:r>
          </w:p>
        </w:tc>
      </w:tr>
      <w:tr w:rsidR="00CE3D59" w:rsidRPr="003860EC" w:rsidTr="0038256F">
        <w:trPr>
          <w:trHeight w:val="236"/>
        </w:trPr>
        <w:tc>
          <w:tcPr>
            <w:tcW w:w="5070" w:type="dxa"/>
            <w:shd w:val="clear" w:color="auto" w:fill="auto"/>
          </w:tcPr>
          <w:p w:rsidR="00CE3D59" w:rsidRPr="003860EC" w:rsidRDefault="00CE3D59" w:rsidP="0038256F">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559" w:type="dxa"/>
            <w:shd w:val="clear" w:color="auto" w:fill="auto"/>
          </w:tcPr>
          <w:p w:rsidR="00CE3D59" w:rsidRDefault="00CE3D59" w:rsidP="0038256F">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CE3D59" w:rsidRDefault="00CE3D59" w:rsidP="0038256F">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shd w:val="clear" w:color="auto" w:fill="auto"/>
          </w:tcPr>
          <w:p w:rsidR="00CE3D59" w:rsidRDefault="00CE3D59" w:rsidP="0038256F">
            <w:pPr>
              <w:spacing w:after="0" w:line="240" w:lineRule="auto"/>
              <w:jc w:val="center"/>
              <w:rPr>
                <w:rFonts w:ascii="Times New Roman" w:hAnsi="Times New Roman"/>
                <w:sz w:val="24"/>
                <w:szCs w:val="24"/>
              </w:rPr>
            </w:pPr>
            <w:r>
              <w:rPr>
                <w:rFonts w:ascii="Times New Roman" w:hAnsi="Times New Roman"/>
                <w:sz w:val="24"/>
                <w:szCs w:val="24"/>
              </w:rPr>
              <w:t>4</w:t>
            </w:r>
          </w:p>
        </w:tc>
      </w:tr>
      <w:tr w:rsidR="00696B03" w:rsidRPr="003860EC" w:rsidTr="000A4FD9">
        <w:trPr>
          <w:trHeight w:val="707"/>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Прочие доходы от оказания платных услуг (работ)</w:t>
            </w:r>
          </w:p>
        </w:tc>
        <w:tc>
          <w:tcPr>
            <w:tcW w:w="1559" w:type="dxa"/>
            <w:shd w:val="clear" w:color="auto" w:fill="auto"/>
          </w:tcPr>
          <w:p w:rsidR="00696B03" w:rsidRPr="00F621DF" w:rsidRDefault="00696B03" w:rsidP="00AA49D1">
            <w:pPr>
              <w:spacing w:after="0" w:line="240" w:lineRule="auto"/>
              <w:jc w:val="center"/>
              <w:rPr>
                <w:rFonts w:ascii="Times New Roman" w:hAnsi="Times New Roman"/>
                <w:sz w:val="24"/>
                <w:szCs w:val="24"/>
              </w:rPr>
            </w:pPr>
            <w:r w:rsidRPr="00F621DF">
              <w:rPr>
                <w:rFonts w:ascii="Times New Roman" w:hAnsi="Times New Roman"/>
                <w:sz w:val="24"/>
                <w:szCs w:val="24"/>
              </w:rPr>
              <w:t>710,0</w:t>
            </w:r>
          </w:p>
        </w:tc>
        <w:tc>
          <w:tcPr>
            <w:tcW w:w="1701" w:type="dxa"/>
            <w:shd w:val="clear" w:color="auto" w:fill="auto"/>
          </w:tcPr>
          <w:p w:rsidR="00696B03" w:rsidRPr="00F621DF" w:rsidRDefault="00696B03" w:rsidP="00AA49D1">
            <w:pPr>
              <w:spacing w:after="0" w:line="240" w:lineRule="auto"/>
              <w:jc w:val="center"/>
              <w:rPr>
                <w:rFonts w:ascii="Times New Roman" w:hAnsi="Times New Roman"/>
                <w:sz w:val="24"/>
                <w:szCs w:val="24"/>
              </w:rPr>
            </w:pPr>
            <w:r w:rsidRPr="00F621DF">
              <w:rPr>
                <w:rFonts w:ascii="Times New Roman" w:hAnsi="Times New Roman"/>
                <w:sz w:val="24"/>
                <w:szCs w:val="24"/>
              </w:rPr>
              <w:t>710,0</w:t>
            </w:r>
          </w:p>
        </w:tc>
        <w:tc>
          <w:tcPr>
            <w:tcW w:w="1417" w:type="dxa"/>
            <w:shd w:val="clear" w:color="auto" w:fill="auto"/>
          </w:tcPr>
          <w:p w:rsidR="00696B03" w:rsidRPr="00F621DF" w:rsidRDefault="00696B03" w:rsidP="00AA49D1">
            <w:pPr>
              <w:spacing w:after="0" w:line="240" w:lineRule="auto"/>
              <w:jc w:val="center"/>
              <w:rPr>
                <w:rFonts w:ascii="Times New Roman" w:hAnsi="Times New Roman"/>
                <w:sz w:val="24"/>
                <w:szCs w:val="24"/>
              </w:rPr>
            </w:pPr>
            <w:r w:rsidRPr="00F621DF">
              <w:rPr>
                <w:rFonts w:ascii="Times New Roman" w:hAnsi="Times New Roman"/>
                <w:sz w:val="24"/>
                <w:szCs w:val="24"/>
              </w:rPr>
              <w:t>710,0</w:t>
            </w:r>
          </w:p>
        </w:tc>
      </w:tr>
      <w:tr w:rsidR="00696B03" w:rsidRPr="003860EC" w:rsidTr="000A4FD9">
        <w:trPr>
          <w:trHeight w:val="1255"/>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Денежные взыскания (штрафы) за нарушения правил перевозки крупногабаритных и тяжеловесных грузов по автомобильным дорогам общего пользования</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10</w:t>
            </w:r>
            <w:r w:rsidRPr="003860EC">
              <w:rPr>
                <w:rFonts w:ascii="Times New Roman" w:hAnsi="Times New Roman"/>
                <w:sz w:val="24"/>
                <w:szCs w:val="24"/>
              </w:rPr>
              <w:t>,0</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10</w:t>
            </w:r>
            <w:r w:rsidRPr="003860EC">
              <w:rPr>
                <w:rFonts w:ascii="Times New Roman" w:hAnsi="Times New Roman"/>
                <w:sz w:val="24"/>
                <w:szCs w:val="24"/>
              </w:rPr>
              <w:t>,0</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10</w:t>
            </w:r>
            <w:r w:rsidRPr="003860EC">
              <w:rPr>
                <w:rFonts w:ascii="Times New Roman" w:hAnsi="Times New Roman"/>
                <w:sz w:val="24"/>
                <w:szCs w:val="24"/>
              </w:rPr>
              <w:t>,0</w:t>
            </w:r>
          </w:p>
        </w:tc>
      </w:tr>
      <w:tr w:rsidR="00696B03" w:rsidRPr="003860EC" w:rsidTr="000A4FD9">
        <w:trPr>
          <w:trHeight w:val="2124"/>
        </w:trPr>
        <w:tc>
          <w:tcPr>
            <w:tcW w:w="5070" w:type="dxa"/>
            <w:shd w:val="clear" w:color="auto" w:fill="auto"/>
          </w:tcPr>
          <w:p w:rsidR="00696B03" w:rsidRPr="003860EC" w:rsidRDefault="00696B03" w:rsidP="00AA49D1">
            <w:pPr>
              <w:spacing w:after="0" w:line="240" w:lineRule="auto"/>
              <w:rPr>
                <w:rFonts w:ascii="Times New Roman" w:hAnsi="Times New Roman"/>
                <w:sz w:val="24"/>
                <w:szCs w:val="24"/>
              </w:rPr>
            </w:pPr>
            <w:r w:rsidRPr="003860EC">
              <w:rPr>
                <w:rFonts w:ascii="Times New Roman" w:hAnsi="Times New Roman"/>
                <w:sz w:val="24"/>
                <w:szCs w:val="24"/>
              </w:rPr>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 </w:t>
            </w:r>
          </w:p>
        </w:tc>
        <w:tc>
          <w:tcPr>
            <w:tcW w:w="1559"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3700</w:t>
            </w:r>
            <w:r w:rsidRPr="003860EC">
              <w:rPr>
                <w:rFonts w:ascii="Times New Roman" w:hAnsi="Times New Roman"/>
                <w:sz w:val="24"/>
                <w:szCs w:val="24"/>
              </w:rPr>
              <w:t>,0</w:t>
            </w:r>
          </w:p>
        </w:tc>
        <w:tc>
          <w:tcPr>
            <w:tcW w:w="1701"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3700</w:t>
            </w:r>
            <w:r w:rsidRPr="003860EC">
              <w:rPr>
                <w:rFonts w:ascii="Times New Roman" w:hAnsi="Times New Roman"/>
                <w:sz w:val="24"/>
                <w:szCs w:val="24"/>
              </w:rPr>
              <w:t>,0</w:t>
            </w:r>
          </w:p>
        </w:tc>
        <w:tc>
          <w:tcPr>
            <w:tcW w:w="1417" w:type="dxa"/>
            <w:shd w:val="clear" w:color="auto" w:fill="auto"/>
          </w:tcPr>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p>
          <w:p w:rsidR="00696B03" w:rsidRPr="003860EC" w:rsidRDefault="00696B03" w:rsidP="00AA49D1">
            <w:pPr>
              <w:spacing w:after="0" w:line="240" w:lineRule="auto"/>
              <w:jc w:val="center"/>
              <w:rPr>
                <w:rFonts w:ascii="Times New Roman" w:hAnsi="Times New Roman"/>
                <w:sz w:val="24"/>
                <w:szCs w:val="24"/>
              </w:rPr>
            </w:pPr>
            <w:r>
              <w:rPr>
                <w:rFonts w:ascii="Times New Roman" w:hAnsi="Times New Roman"/>
                <w:sz w:val="24"/>
                <w:szCs w:val="24"/>
              </w:rPr>
              <w:t>3700</w:t>
            </w:r>
            <w:r w:rsidRPr="003860EC">
              <w:rPr>
                <w:rFonts w:ascii="Times New Roman" w:hAnsi="Times New Roman"/>
                <w:sz w:val="24"/>
                <w:szCs w:val="24"/>
              </w:rPr>
              <w:t>,0</w:t>
            </w:r>
          </w:p>
        </w:tc>
      </w:tr>
      <w:tr w:rsidR="00696B03" w:rsidRPr="00C22D50" w:rsidTr="000A4FD9">
        <w:trPr>
          <w:trHeight w:val="472"/>
        </w:trPr>
        <w:tc>
          <w:tcPr>
            <w:tcW w:w="5070" w:type="dxa"/>
            <w:shd w:val="clear" w:color="auto" w:fill="auto"/>
          </w:tcPr>
          <w:p w:rsidR="00696B03" w:rsidRPr="00C22D50" w:rsidRDefault="00696B03" w:rsidP="00AA49D1">
            <w:pPr>
              <w:spacing w:after="0" w:line="240" w:lineRule="auto"/>
              <w:rPr>
                <w:rFonts w:ascii="Times New Roman" w:hAnsi="Times New Roman"/>
                <w:b/>
                <w:sz w:val="24"/>
                <w:szCs w:val="24"/>
              </w:rPr>
            </w:pPr>
            <w:r w:rsidRPr="00C22D50">
              <w:rPr>
                <w:rFonts w:ascii="Times New Roman" w:hAnsi="Times New Roman"/>
                <w:b/>
                <w:sz w:val="24"/>
                <w:szCs w:val="24"/>
              </w:rPr>
              <w:t>Итого</w:t>
            </w:r>
          </w:p>
        </w:tc>
        <w:tc>
          <w:tcPr>
            <w:tcW w:w="1559" w:type="dxa"/>
            <w:shd w:val="clear" w:color="auto" w:fill="auto"/>
          </w:tcPr>
          <w:p w:rsidR="00696B03" w:rsidRPr="00C22D50" w:rsidRDefault="00696B03" w:rsidP="00AA49D1">
            <w:pPr>
              <w:spacing w:after="0" w:line="240" w:lineRule="auto"/>
              <w:jc w:val="center"/>
              <w:rPr>
                <w:rFonts w:ascii="Times New Roman" w:hAnsi="Times New Roman"/>
                <w:b/>
                <w:sz w:val="24"/>
                <w:szCs w:val="24"/>
              </w:rPr>
            </w:pPr>
            <w:r>
              <w:rPr>
                <w:rFonts w:ascii="Times New Roman" w:hAnsi="Times New Roman"/>
                <w:b/>
                <w:sz w:val="24"/>
                <w:szCs w:val="24"/>
              </w:rPr>
              <w:t>2345504,0</w:t>
            </w:r>
          </w:p>
        </w:tc>
        <w:tc>
          <w:tcPr>
            <w:tcW w:w="1701" w:type="dxa"/>
            <w:shd w:val="clear" w:color="auto" w:fill="auto"/>
          </w:tcPr>
          <w:p w:rsidR="00696B03" w:rsidRPr="00C22D50" w:rsidRDefault="00696B03" w:rsidP="00AA49D1">
            <w:pPr>
              <w:spacing w:after="0" w:line="240" w:lineRule="auto"/>
              <w:jc w:val="center"/>
              <w:rPr>
                <w:rFonts w:ascii="Times New Roman" w:hAnsi="Times New Roman"/>
                <w:b/>
                <w:sz w:val="24"/>
                <w:szCs w:val="24"/>
              </w:rPr>
            </w:pPr>
            <w:r>
              <w:rPr>
                <w:rFonts w:ascii="Times New Roman" w:hAnsi="Times New Roman"/>
                <w:b/>
                <w:sz w:val="24"/>
                <w:szCs w:val="24"/>
              </w:rPr>
              <w:t>2275048,0</w:t>
            </w:r>
          </w:p>
        </w:tc>
        <w:tc>
          <w:tcPr>
            <w:tcW w:w="1417" w:type="dxa"/>
            <w:shd w:val="clear" w:color="auto" w:fill="auto"/>
          </w:tcPr>
          <w:p w:rsidR="00696B03" w:rsidRPr="00C22D50" w:rsidRDefault="00696B03" w:rsidP="00AA49D1">
            <w:pPr>
              <w:spacing w:after="0" w:line="240" w:lineRule="auto"/>
              <w:jc w:val="center"/>
              <w:rPr>
                <w:rFonts w:ascii="Times New Roman" w:hAnsi="Times New Roman"/>
                <w:b/>
                <w:sz w:val="24"/>
                <w:szCs w:val="24"/>
              </w:rPr>
            </w:pPr>
            <w:r>
              <w:rPr>
                <w:rFonts w:ascii="Times New Roman" w:hAnsi="Times New Roman"/>
                <w:b/>
                <w:sz w:val="24"/>
                <w:szCs w:val="24"/>
              </w:rPr>
              <w:t>2250311,0</w:t>
            </w:r>
          </w:p>
        </w:tc>
      </w:tr>
    </w:tbl>
    <w:p w:rsidR="00696B03" w:rsidRDefault="00696B03" w:rsidP="00696B03">
      <w:pPr>
        <w:spacing w:after="0" w:line="240" w:lineRule="auto"/>
        <w:ind w:firstLine="709"/>
        <w:jc w:val="both"/>
        <w:rPr>
          <w:rFonts w:ascii="Times New Roman" w:hAnsi="Times New Roman"/>
          <w:sz w:val="24"/>
          <w:szCs w:val="24"/>
        </w:rPr>
      </w:pPr>
    </w:p>
    <w:p w:rsidR="00696B03" w:rsidRDefault="00696B03" w:rsidP="00696B03">
      <w:pPr>
        <w:spacing w:after="0" w:line="240" w:lineRule="auto"/>
        <w:jc w:val="both"/>
        <w:rPr>
          <w:rFonts w:ascii="Times New Roman" w:hAnsi="Times New Roman"/>
          <w:sz w:val="24"/>
          <w:szCs w:val="24"/>
        </w:rPr>
      </w:pPr>
      <w:r w:rsidRPr="003860EC">
        <w:rPr>
          <w:rFonts w:ascii="Times New Roman" w:hAnsi="Times New Roman"/>
          <w:sz w:val="24"/>
          <w:szCs w:val="24"/>
        </w:rPr>
        <w:t xml:space="preserve">Структура источников формирования дорожного фонда </w:t>
      </w:r>
      <w:r>
        <w:rPr>
          <w:rFonts w:ascii="Times New Roman" w:hAnsi="Times New Roman"/>
          <w:sz w:val="24"/>
          <w:szCs w:val="24"/>
        </w:rPr>
        <w:t xml:space="preserve">приведена на рисунке </w:t>
      </w:r>
      <w:r w:rsidR="00745189">
        <w:rPr>
          <w:rFonts w:ascii="Times New Roman" w:hAnsi="Times New Roman"/>
          <w:sz w:val="24"/>
          <w:szCs w:val="24"/>
        </w:rPr>
        <w:t>19.</w:t>
      </w:r>
    </w:p>
    <w:p w:rsidR="00696B03" w:rsidRPr="00FB1F43" w:rsidRDefault="00696B03" w:rsidP="00696B03">
      <w:pPr>
        <w:spacing w:after="0" w:line="240" w:lineRule="auto"/>
        <w:ind w:firstLine="142"/>
        <w:jc w:val="center"/>
        <w:rPr>
          <w:rFonts w:ascii="Times New Roman" w:hAnsi="Times New Roman"/>
          <w:b/>
          <w:sz w:val="24"/>
          <w:szCs w:val="24"/>
        </w:rPr>
      </w:pPr>
      <w:r>
        <w:rPr>
          <w:rFonts w:ascii="Times New Roman" w:hAnsi="Times New Roman"/>
          <w:noProof/>
          <w:color w:val="FF0000"/>
          <w:sz w:val="24"/>
          <w:szCs w:val="24"/>
        </w:rPr>
        <w:drawing>
          <wp:inline distT="0" distB="0" distL="0" distR="0" wp14:anchorId="1C8BFAC6" wp14:editId="41202F28">
            <wp:extent cx="6219825" cy="363855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ascii="Times New Roman" w:hAnsi="Times New Roman"/>
          <w:b/>
          <w:sz w:val="24"/>
          <w:szCs w:val="24"/>
        </w:rPr>
        <w:t xml:space="preserve">Рис. </w:t>
      </w:r>
      <w:r w:rsidR="00745189">
        <w:rPr>
          <w:rFonts w:ascii="Times New Roman" w:hAnsi="Times New Roman"/>
          <w:b/>
          <w:sz w:val="24"/>
          <w:szCs w:val="24"/>
        </w:rPr>
        <w:t>19</w:t>
      </w:r>
      <w:r w:rsidRPr="00FB1F43">
        <w:rPr>
          <w:rFonts w:ascii="Times New Roman" w:hAnsi="Times New Roman"/>
          <w:b/>
          <w:sz w:val="24"/>
          <w:szCs w:val="24"/>
        </w:rPr>
        <w:t xml:space="preserve"> – Структура источников фор</w:t>
      </w:r>
      <w:r>
        <w:rPr>
          <w:rFonts w:ascii="Times New Roman" w:hAnsi="Times New Roman"/>
          <w:b/>
          <w:sz w:val="24"/>
          <w:szCs w:val="24"/>
        </w:rPr>
        <w:t>мирования дорожного фонда в 2015</w:t>
      </w:r>
      <w:r w:rsidRPr="00FB1F43">
        <w:rPr>
          <w:rFonts w:ascii="Times New Roman" w:hAnsi="Times New Roman"/>
          <w:b/>
          <w:sz w:val="24"/>
          <w:szCs w:val="24"/>
        </w:rPr>
        <w:t xml:space="preserve"> году</w:t>
      </w:r>
    </w:p>
    <w:p w:rsidR="00696B03" w:rsidRPr="00FB1F43" w:rsidRDefault="00696B03" w:rsidP="00696B03">
      <w:pPr>
        <w:spacing w:after="0" w:line="240" w:lineRule="auto"/>
        <w:ind w:firstLine="142"/>
        <w:jc w:val="center"/>
        <w:rPr>
          <w:rFonts w:ascii="Times New Roman" w:hAnsi="Times New Roman"/>
          <w:b/>
          <w:sz w:val="24"/>
          <w:szCs w:val="24"/>
        </w:rPr>
      </w:pPr>
    </w:p>
    <w:p w:rsidR="00696B03" w:rsidRPr="003860EC" w:rsidRDefault="00696B03" w:rsidP="00745189">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3860EC">
        <w:rPr>
          <w:rFonts w:ascii="Times New Roman" w:hAnsi="Times New Roman"/>
          <w:sz w:val="24"/>
          <w:szCs w:val="24"/>
        </w:rPr>
        <w:t>а счет средств дорожного фонда предусмотрена реализация подпрограммы «Развитие сети автомобильных дорог общего пользования Амурской области», входящей в состав государственной программы «Развитие транспортной системы Амурской области на 2014-2020 годы».</w:t>
      </w:r>
      <w:r>
        <w:rPr>
          <w:rFonts w:ascii="Times New Roman" w:hAnsi="Times New Roman"/>
          <w:sz w:val="24"/>
          <w:szCs w:val="24"/>
        </w:rPr>
        <w:t xml:space="preserve"> Расходы на финансирование</w:t>
      </w:r>
      <w:r w:rsidRPr="003860EC">
        <w:rPr>
          <w:rFonts w:ascii="Times New Roman" w:hAnsi="Times New Roman"/>
          <w:sz w:val="24"/>
          <w:szCs w:val="24"/>
        </w:rPr>
        <w:t xml:space="preserve"> указанной подпрограммы отражены в ведомственной структуре расходов областного бюд</w:t>
      </w:r>
      <w:r>
        <w:rPr>
          <w:rFonts w:ascii="Times New Roman" w:hAnsi="Times New Roman"/>
          <w:sz w:val="24"/>
          <w:szCs w:val="24"/>
        </w:rPr>
        <w:t xml:space="preserve">жета на 2015 год и плановый период </w:t>
      </w:r>
      <w:r w:rsidR="00745189">
        <w:rPr>
          <w:rFonts w:ascii="Times New Roman" w:hAnsi="Times New Roman"/>
          <w:sz w:val="24"/>
          <w:szCs w:val="24"/>
        </w:rPr>
        <w:br/>
      </w:r>
      <w:r>
        <w:rPr>
          <w:rFonts w:ascii="Times New Roman" w:hAnsi="Times New Roman"/>
          <w:sz w:val="24"/>
          <w:szCs w:val="24"/>
        </w:rPr>
        <w:t>2016 и 2017</w:t>
      </w:r>
      <w:r w:rsidRPr="003860EC">
        <w:rPr>
          <w:rFonts w:ascii="Times New Roman" w:hAnsi="Times New Roman"/>
          <w:sz w:val="24"/>
          <w:szCs w:val="24"/>
        </w:rPr>
        <w:t xml:space="preserve"> годов по главе 937 «Министерство транспорта и дорожного хозяйства Амурской области», в том числе:</w:t>
      </w:r>
    </w:p>
    <w:p w:rsidR="00696B03" w:rsidRPr="00590C1D" w:rsidRDefault="00696B03" w:rsidP="00DA5F4F">
      <w:pPr>
        <w:pStyle w:val="ad"/>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2015 год – 2146913,5</w:t>
      </w:r>
      <w:r w:rsidRPr="00590C1D">
        <w:rPr>
          <w:rFonts w:ascii="Times New Roman" w:hAnsi="Times New Roman"/>
          <w:sz w:val="24"/>
          <w:szCs w:val="24"/>
        </w:rPr>
        <w:t xml:space="preserve"> тыс. рублей;</w:t>
      </w:r>
    </w:p>
    <w:p w:rsidR="00696B03" w:rsidRPr="00590C1D" w:rsidRDefault="00696B03" w:rsidP="00DA5F4F">
      <w:pPr>
        <w:pStyle w:val="ad"/>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2016 год – 2275048,0</w:t>
      </w:r>
      <w:r w:rsidRPr="00590C1D">
        <w:rPr>
          <w:rFonts w:ascii="Times New Roman" w:hAnsi="Times New Roman"/>
          <w:sz w:val="24"/>
          <w:szCs w:val="24"/>
        </w:rPr>
        <w:t xml:space="preserve"> тыс. рублей;</w:t>
      </w:r>
    </w:p>
    <w:p w:rsidR="00696B03" w:rsidRPr="00590C1D" w:rsidRDefault="00696B03" w:rsidP="00DA5F4F">
      <w:pPr>
        <w:pStyle w:val="ad"/>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2017 год – 2250311,0</w:t>
      </w:r>
      <w:r w:rsidRPr="00590C1D">
        <w:rPr>
          <w:rFonts w:ascii="Times New Roman" w:hAnsi="Times New Roman"/>
          <w:sz w:val="24"/>
          <w:szCs w:val="24"/>
        </w:rPr>
        <w:t xml:space="preserve"> тыс. рублей.</w:t>
      </w:r>
    </w:p>
    <w:p w:rsidR="00696B03" w:rsidRPr="001E15BF" w:rsidRDefault="00696B03" w:rsidP="00745189">
      <w:pPr>
        <w:tabs>
          <w:tab w:val="left" w:pos="426"/>
        </w:tabs>
        <w:autoSpaceDE w:val="0"/>
        <w:autoSpaceDN w:val="0"/>
        <w:adjustRightInd w:val="0"/>
        <w:spacing w:after="0" w:line="240" w:lineRule="auto"/>
        <w:ind w:firstLine="709"/>
        <w:jc w:val="both"/>
        <w:rPr>
          <w:rFonts w:ascii="Times New Roman" w:hAnsi="Times New Roman"/>
          <w:sz w:val="24"/>
          <w:szCs w:val="24"/>
        </w:rPr>
      </w:pPr>
      <w:r w:rsidRPr="003860EC">
        <w:rPr>
          <w:rFonts w:ascii="Times New Roman" w:hAnsi="Times New Roman"/>
          <w:sz w:val="24"/>
          <w:szCs w:val="24"/>
        </w:rPr>
        <w:lastRenderedPageBreak/>
        <w:t>Прогнозируемые расходы на дорожное хозяйство</w:t>
      </w:r>
      <w:r>
        <w:rPr>
          <w:rFonts w:ascii="Times New Roman" w:hAnsi="Times New Roman"/>
          <w:sz w:val="24"/>
          <w:szCs w:val="24"/>
        </w:rPr>
        <w:t>, финансирование которых осуществляется</w:t>
      </w:r>
      <w:r w:rsidRPr="003860EC">
        <w:rPr>
          <w:rFonts w:ascii="Times New Roman" w:hAnsi="Times New Roman"/>
          <w:sz w:val="24"/>
          <w:szCs w:val="24"/>
        </w:rPr>
        <w:t xml:space="preserve"> в рамках подпрограммы «Развитие сети автомобильных дорог общего пользования Амурской области»</w:t>
      </w:r>
      <w:r>
        <w:rPr>
          <w:rFonts w:ascii="Times New Roman" w:hAnsi="Times New Roman"/>
          <w:sz w:val="24"/>
          <w:szCs w:val="24"/>
        </w:rPr>
        <w:t>, ниже аналогичных расходов 2014 года</w:t>
      </w:r>
      <w:r w:rsidRPr="003860EC">
        <w:rPr>
          <w:rFonts w:ascii="Times New Roman" w:hAnsi="Times New Roman"/>
          <w:sz w:val="24"/>
          <w:szCs w:val="24"/>
        </w:rPr>
        <w:t xml:space="preserve"> на </w:t>
      </w:r>
      <w:r w:rsidRPr="003860EC">
        <w:rPr>
          <w:rFonts w:ascii="Times New Roman" w:hAnsi="Times New Roman"/>
          <w:sz w:val="24"/>
          <w:szCs w:val="24"/>
        </w:rPr>
        <w:br/>
      </w:r>
      <w:r w:rsidRPr="00E8079A">
        <w:rPr>
          <w:rFonts w:ascii="Times New Roman" w:hAnsi="Times New Roman"/>
          <w:sz w:val="24"/>
          <w:szCs w:val="24"/>
        </w:rPr>
        <w:t>4128062,6</w:t>
      </w:r>
      <w:r>
        <w:rPr>
          <w:rFonts w:ascii="Times New Roman" w:hAnsi="Times New Roman"/>
          <w:sz w:val="24"/>
          <w:szCs w:val="24"/>
        </w:rPr>
        <w:t xml:space="preserve"> </w:t>
      </w:r>
      <w:r w:rsidRPr="003860EC">
        <w:rPr>
          <w:rFonts w:ascii="Times New Roman" w:hAnsi="Times New Roman"/>
          <w:sz w:val="24"/>
          <w:szCs w:val="24"/>
        </w:rPr>
        <w:t>тыс. рублей, или</w:t>
      </w:r>
      <w:r>
        <w:rPr>
          <w:rFonts w:ascii="Times New Roman" w:hAnsi="Times New Roman"/>
          <w:sz w:val="24"/>
          <w:szCs w:val="24"/>
        </w:rPr>
        <w:t xml:space="preserve"> в 2,9 раза</w:t>
      </w:r>
      <w:r w:rsidRPr="003860EC">
        <w:rPr>
          <w:rFonts w:ascii="Times New Roman" w:hAnsi="Times New Roman"/>
          <w:sz w:val="24"/>
          <w:szCs w:val="24"/>
        </w:rPr>
        <w:t xml:space="preserve">. </w:t>
      </w:r>
      <w:r>
        <w:rPr>
          <w:rFonts w:ascii="Times New Roman" w:hAnsi="Times New Roman"/>
          <w:sz w:val="24"/>
          <w:szCs w:val="24"/>
        </w:rPr>
        <w:t xml:space="preserve">Контрольно-счетная палата отмечает, что в соответствии с подпрограммой </w:t>
      </w:r>
      <w:r w:rsidRPr="003860EC">
        <w:rPr>
          <w:rFonts w:ascii="Times New Roman" w:hAnsi="Times New Roman"/>
          <w:sz w:val="24"/>
          <w:szCs w:val="24"/>
        </w:rPr>
        <w:t>«Развитие сети автомобильных дорог общего пользования Амурской области»</w:t>
      </w:r>
      <w:r>
        <w:rPr>
          <w:rFonts w:ascii="Times New Roman" w:hAnsi="Times New Roman"/>
          <w:sz w:val="24"/>
          <w:szCs w:val="24"/>
        </w:rPr>
        <w:t xml:space="preserve"> на софинансирование ряда объектов капитального строительства и реконструкции в 2015 году предусмотрены ассигнования за счет средств </w:t>
      </w:r>
      <w:r w:rsidRPr="009873F6">
        <w:rPr>
          <w:rFonts w:ascii="Times New Roman" w:hAnsi="Times New Roman"/>
          <w:sz w:val="24"/>
          <w:szCs w:val="24"/>
        </w:rPr>
        <w:t>федерального бюджета в размере 8665</w:t>
      </w:r>
      <w:r>
        <w:rPr>
          <w:rFonts w:ascii="Times New Roman" w:hAnsi="Times New Roman"/>
          <w:sz w:val="24"/>
          <w:szCs w:val="24"/>
        </w:rPr>
        <w:t>00,0 тыс</w:t>
      </w:r>
      <w:r w:rsidRPr="009873F6">
        <w:rPr>
          <w:rFonts w:ascii="Times New Roman" w:hAnsi="Times New Roman"/>
          <w:sz w:val="24"/>
          <w:szCs w:val="24"/>
        </w:rPr>
        <w:t xml:space="preserve">. рублей, в 2016 году – 800000,0 тыс. рублей, в 2017 году – 1979500,0 тыс. рублей. </w:t>
      </w:r>
      <w:r w:rsidRPr="001E15BF">
        <w:rPr>
          <w:rFonts w:ascii="Times New Roman" w:hAnsi="Times New Roman"/>
          <w:sz w:val="24"/>
          <w:szCs w:val="24"/>
        </w:rPr>
        <w:t xml:space="preserve">В программной структуре расходов областного бюджета законопроекта как на 2015 год, так и на плановый период 2016 и 2017 годов средства федерального бюджета на софинансирование </w:t>
      </w:r>
      <w:r>
        <w:rPr>
          <w:rFonts w:ascii="Times New Roman" w:hAnsi="Times New Roman"/>
          <w:sz w:val="24"/>
          <w:szCs w:val="24"/>
        </w:rPr>
        <w:t xml:space="preserve">мероприятий </w:t>
      </w:r>
      <w:r w:rsidRPr="001E15BF">
        <w:rPr>
          <w:rFonts w:ascii="Times New Roman" w:hAnsi="Times New Roman"/>
          <w:sz w:val="24"/>
          <w:szCs w:val="24"/>
        </w:rPr>
        <w:t xml:space="preserve">подпрограммы </w:t>
      </w:r>
      <w:r>
        <w:rPr>
          <w:rFonts w:ascii="Times New Roman" w:hAnsi="Times New Roman"/>
          <w:sz w:val="24"/>
          <w:szCs w:val="24"/>
        </w:rPr>
        <w:t>«</w:t>
      </w:r>
      <w:r w:rsidRPr="003860EC">
        <w:rPr>
          <w:rFonts w:ascii="Times New Roman" w:hAnsi="Times New Roman"/>
          <w:sz w:val="24"/>
          <w:szCs w:val="24"/>
        </w:rPr>
        <w:t>Развитие сети автомобильных дорог общего пользования Амурской области»</w:t>
      </w:r>
      <w:r>
        <w:rPr>
          <w:rFonts w:ascii="Times New Roman" w:hAnsi="Times New Roman"/>
          <w:sz w:val="24"/>
          <w:szCs w:val="24"/>
        </w:rPr>
        <w:t xml:space="preserve"> </w:t>
      </w:r>
      <w:r w:rsidR="00E8079A">
        <w:rPr>
          <w:rFonts w:ascii="Times New Roman" w:hAnsi="Times New Roman"/>
          <w:sz w:val="24"/>
          <w:szCs w:val="24"/>
        </w:rPr>
        <w:t>не предусмотрены.</w:t>
      </w:r>
    </w:p>
    <w:p w:rsidR="00696B03" w:rsidRPr="003860EC" w:rsidRDefault="00696B03" w:rsidP="00745189">
      <w:pPr>
        <w:spacing w:after="0" w:line="240" w:lineRule="auto"/>
        <w:ind w:firstLine="709"/>
        <w:jc w:val="both"/>
        <w:rPr>
          <w:rFonts w:ascii="Times New Roman" w:hAnsi="Times New Roman"/>
          <w:b/>
          <w:i/>
          <w:sz w:val="24"/>
          <w:szCs w:val="24"/>
        </w:rPr>
      </w:pPr>
      <w:r>
        <w:rPr>
          <w:rFonts w:ascii="Times New Roman" w:hAnsi="Times New Roman"/>
          <w:sz w:val="24"/>
          <w:szCs w:val="24"/>
        </w:rPr>
        <w:t>На 2015</w:t>
      </w:r>
      <w:r w:rsidRPr="003860EC">
        <w:rPr>
          <w:rFonts w:ascii="Times New Roman" w:hAnsi="Times New Roman"/>
          <w:sz w:val="24"/>
          <w:szCs w:val="24"/>
        </w:rPr>
        <w:t xml:space="preserve"> год расходы на </w:t>
      </w:r>
      <w:r>
        <w:rPr>
          <w:rFonts w:ascii="Times New Roman" w:hAnsi="Times New Roman"/>
          <w:sz w:val="24"/>
          <w:szCs w:val="24"/>
        </w:rPr>
        <w:t xml:space="preserve">обеспечение деятельности </w:t>
      </w:r>
      <w:r w:rsidRPr="003860EC">
        <w:rPr>
          <w:rFonts w:ascii="Times New Roman" w:hAnsi="Times New Roman"/>
          <w:sz w:val="24"/>
          <w:szCs w:val="24"/>
        </w:rPr>
        <w:t>учреждения, осуществляющего управление автомобильными дорогами регионального значения - государственного казенного учреждения управление автомобильных дорог Амурской области «Амурупрадор», предусмотрены в рамках реализации подпрограммы «Развитие сети автомобильных дорог общего пользования Аму</w:t>
      </w:r>
      <w:r>
        <w:rPr>
          <w:rFonts w:ascii="Times New Roman" w:hAnsi="Times New Roman"/>
          <w:sz w:val="24"/>
          <w:szCs w:val="24"/>
        </w:rPr>
        <w:t>рской области» в размере 361625,0</w:t>
      </w:r>
      <w:r w:rsidRPr="003860EC">
        <w:rPr>
          <w:rFonts w:ascii="Times New Roman" w:hAnsi="Times New Roman"/>
          <w:sz w:val="24"/>
          <w:szCs w:val="24"/>
        </w:rPr>
        <w:t xml:space="preserve"> тыс. рублей (с </w:t>
      </w:r>
      <w:r>
        <w:rPr>
          <w:rFonts w:ascii="Times New Roman" w:hAnsi="Times New Roman"/>
          <w:sz w:val="24"/>
          <w:szCs w:val="24"/>
        </w:rPr>
        <w:t>увеличением</w:t>
      </w:r>
      <w:r w:rsidRPr="003860EC">
        <w:rPr>
          <w:rFonts w:ascii="Times New Roman" w:hAnsi="Times New Roman"/>
          <w:sz w:val="24"/>
          <w:szCs w:val="24"/>
        </w:rPr>
        <w:t xml:space="preserve"> к утвержденным ассигнованиям 201</w:t>
      </w:r>
      <w:r>
        <w:rPr>
          <w:rFonts w:ascii="Times New Roman" w:hAnsi="Times New Roman"/>
          <w:sz w:val="24"/>
          <w:szCs w:val="24"/>
        </w:rPr>
        <w:t>4 года на 19,0 процентов</w:t>
      </w:r>
      <w:r w:rsidRPr="003860EC">
        <w:rPr>
          <w:rFonts w:ascii="Times New Roman" w:hAnsi="Times New Roman"/>
          <w:sz w:val="24"/>
          <w:szCs w:val="24"/>
        </w:rPr>
        <w:t xml:space="preserve">). </w:t>
      </w:r>
      <w:r>
        <w:rPr>
          <w:rFonts w:ascii="Times New Roman" w:hAnsi="Times New Roman"/>
          <w:sz w:val="24"/>
          <w:szCs w:val="24"/>
        </w:rPr>
        <w:t xml:space="preserve">В составе расходов учтены средства на уплату налога на имущество дорог общего пользования в объеме 300767,1 тыс. рублей, что на 31,5 процента выше аналогичных расходов 2014 года. Расходы на содержание в 2015 году </w:t>
      </w:r>
      <w:r w:rsidRPr="003860EC">
        <w:rPr>
          <w:rFonts w:ascii="Times New Roman" w:hAnsi="Times New Roman"/>
          <w:sz w:val="24"/>
          <w:szCs w:val="24"/>
        </w:rPr>
        <w:t>государственного казенного учреждения управление автомобильных дорог Амурской области «Амурупрадор»</w:t>
      </w:r>
      <w:r>
        <w:rPr>
          <w:rFonts w:ascii="Times New Roman" w:hAnsi="Times New Roman"/>
          <w:sz w:val="24"/>
          <w:szCs w:val="24"/>
        </w:rPr>
        <w:t xml:space="preserve"> предусмотрены в объеме 60857,9 тыс. рублей, со снижением к уровню 2014 года на 19,0 процентов. Аналогичные расходы на плановый период 2016 и 2017 годов предусмотрены на уровне 2015 года.</w:t>
      </w:r>
    </w:p>
    <w:p w:rsidR="00696B03" w:rsidRDefault="00696B03" w:rsidP="00696B03"/>
    <w:p w:rsidR="009261EB" w:rsidRPr="009261EB" w:rsidRDefault="009261EB" w:rsidP="00DA5F4F">
      <w:pPr>
        <w:pStyle w:val="ad"/>
        <w:numPr>
          <w:ilvl w:val="0"/>
          <w:numId w:val="14"/>
        </w:numPr>
        <w:spacing w:after="0" w:line="240" w:lineRule="auto"/>
        <w:jc w:val="center"/>
        <w:outlineLvl w:val="0"/>
        <w:rPr>
          <w:rFonts w:ascii="Times New Roman" w:hAnsi="Times New Roman"/>
          <w:b/>
          <w:sz w:val="24"/>
          <w:szCs w:val="24"/>
        </w:rPr>
      </w:pPr>
      <w:r w:rsidRPr="009261EB">
        <w:rPr>
          <w:rFonts w:ascii="Times New Roman" w:hAnsi="Times New Roman"/>
          <w:b/>
          <w:sz w:val="24"/>
          <w:szCs w:val="24"/>
        </w:rPr>
        <w:t>Показатели, характеризующие состояние государственного внутреннего долга Амурской области на 2015 год и плановый период 2016 и 2017 годов</w:t>
      </w:r>
    </w:p>
    <w:p w:rsidR="009261EB" w:rsidRDefault="009261EB" w:rsidP="009261EB">
      <w:pPr>
        <w:spacing w:after="0" w:line="240" w:lineRule="auto"/>
        <w:ind w:firstLine="709"/>
        <w:jc w:val="both"/>
        <w:rPr>
          <w:rFonts w:ascii="Times New Roman" w:hAnsi="Times New Roman"/>
          <w:sz w:val="24"/>
          <w:szCs w:val="24"/>
        </w:rPr>
      </w:pPr>
    </w:p>
    <w:p w:rsidR="009261EB" w:rsidRDefault="009261EB" w:rsidP="009261EB">
      <w:pPr>
        <w:spacing w:after="0" w:line="240" w:lineRule="auto"/>
        <w:ind w:firstLine="709"/>
        <w:jc w:val="both"/>
        <w:rPr>
          <w:rFonts w:ascii="Times New Roman" w:hAnsi="Times New Roman"/>
          <w:sz w:val="24"/>
          <w:szCs w:val="24"/>
        </w:rPr>
      </w:pPr>
      <w:r w:rsidRPr="00487692">
        <w:rPr>
          <w:rFonts w:ascii="Times New Roman" w:hAnsi="Times New Roman"/>
          <w:sz w:val="24"/>
          <w:szCs w:val="24"/>
        </w:rPr>
        <w:t xml:space="preserve">Основными направлениями бюджетной и налоговой политики области </w:t>
      </w:r>
      <w:r w:rsidRPr="00487692">
        <w:rPr>
          <w:rFonts w:ascii="Times New Roman" w:hAnsi="Times New Roman"/>
          <w:sz w:val="24"/>
          <w:szCs w:val="24"/>
        </w:rPr>
        <w:br/>
        <w:t>на 2015-2017 год</w:t>
      </w:r>
      <w:r>
        <w:rPr>
          <w:rFonts w:ascii="Times New Roman" w:hAnsi="Times New Roman"/>
          <w:sz w:val="24"/>
          <w:szCs w:val="24"/>
        </w:rPr>
        <w:t>ы</w:t>
      </w:r>
      <w:r w:rsidRPr="00487692">
        <w:rPr>
          <w:rFonts w:ascii="Times New Roman" w:hAnsi="Times New Roman"/>
          <w:sz w:val="24"/>
          <w:szCs w:val="24"/>
        </w:rPr>
        <w:t xml:space="preserve">, представленными с проектом областного бюджета, определено, что </w:t>
      </w:r>
      <w:r>
        <w:rPr>
          <w:rFonts w:ascii="Times New Roman" w:hAnsi="Times New Roman"/>
          <w:sz w:val="24"/>
          <w:szCs w:val="24"/>
        </w:rPr>
        <w:t>п</w:t>
      </w:r>
      <w:r w:rsidRPr="00487692">
        <w:rPr>
          <w:rFonts w:ascii="Times New Roman" w:hAnsi="Times New Roman"/>
          <w:sz w:val="24"/>
          <w:szCs w:val="24"/>
        </w:rPr>
        <w:t xml:space="preserve">ервостепенной стратегической задачей Правительства Амурской области в 2015 году и плановом периоде 2016 и 2017 годов является проведение взвешенной долговой политики, сокращение темпов роста государственного долга Амурской области и переход к безопасной долговой нагрузке. </w:t>
      </w:r>
      <w:r>
        <w:rPr>
          <w:rFonts w:ascii="Times New Roman" w:hAnsi="Times New Roman"/>
          <w:sz w:val="24"/>
          <w:szCs w:val="24"/>
        </w:rPr>
        <w:t>Эффективное управление государственным долгом, обозначенное одной из составляющих долговой политики, предусматривает в числе прочих задач сдерживание роста, а в перспективе и сокращение объема государственного долга Амурской области к 01.01.2018 до 60,3 процента к общему годовому объему доходов областного бюджета без учета безвозмездных поступлений.</w:t>
      </w:r>
    </w:p>
    <w:p w:rsidR="009261EB" w:rsidRDefault="009261EB" w:rsidP="009261EB">
      <w:pPr>
        <w:spacing w:after="0" w:line="240" w:lineRule="auto"/>
        <w:ind w:firstLine="709"/>
        <w:jc w:val="both"/>
        <w:rPr>
          <w:rFonts w:ascii="Times New Roman" w:hAnsi="Times New Roman"/>
          <w:sz w:val="24"/>
          <w:szCs w:val="24"/>
        </w:rPr>
      </w:pPr>
      <w:r>
        <w:rPr>
          <w:rFonts w:ascii="Times New Roman" w:hAnsi="Times New Roman"/>
          <w:sz w:val="24"/>
          <w:szCs w:val="24"/>
        </w:rPr>
        <w:t>Контрольно-счетная палата Амурской области отмечает, что предусмотренная о</w:t>
      </w:r>
      <w:r w:rsidRPr="00487692">
        <w:rPr>
          <w:rFonts w:ascii="Times New Roman" w:hAnsi="Times New Roman"/>
          <w:sz w:val="24"/>
          <w:szCs w:val="24"/>
        </w:rPr>
        <w:t xml:space="preserve">сновными направлениями бюджетной и налоговой политики области </w:t>
      </w:r>
      <w:r w:rsidRPr="00DE4BDF">
        <w:rPr>
          <w:rFonts w:ascii="Times New Roman" w:hAnsi="Times New Roman"/>
          <w:sz w:val="24"/>
          <w:szCs w:val="24"/>
        </w:rPr>
        <w:t>задача</w:t>
      </w:r>
      <w:r>
        <w:rPr>
          <w:rFonts w:ascii="Times New Roman" w:hAnsi="Times New Roman"/>
          <w:sz w:val="24"/>
          <w:szCs w:val="24"/>
        </w:rPr>
        <w:t xml:space="preserve"> по сокращению объема государственного долга не нашла отражения в системе основных мероприятий и плановых показателей реализации государственной программы «Повышение эффективности деятельности органов государственной власти и управления Амурской области </w:t>
      </w:r>
      <w:r>
        <w:rPr>
          <w:rFonts w:ascii="Times New Roman" w:hAnsi="Times New Roman"/>
          <w:sz w:val="24"/>
          <w:szCs w:val="24"/>
        </w:rPr>
        <w:br/>
        <w:t>на 2014-2020 годы», утвержденной постановлением Правительства Амурской области от 25.09.2013 № 442 (в редакции постановления Правительства Амурской области от 25.09.2014 № 576). Так, в соответствии с приложением № 1 к государственной программе значение планового показателя - отношение государственного долга Амурской области к налоговым и неналоговым доходам областного бюджета – установлено в размере менее 100 процентов на весь период реализации государственной программы, что соответствует предельному значению государственного долга субъекта Российской Федерации, установленному</w:t>
      </w:r>
      <w:r w:rsidRPr="00C634E6">
        <w:rPr>
          <w:rFonts w:ascii="Times New Roman" w:hAnsi="Times New Roman"/>
          <w:sz w:val="24"/>
          <w:szCs w:val="24"/>
        </w:rPr>
        <w:t xml:space="preserve"> статьей 1</w:t>
      </w:r>
      <w:r>
        <w:rPr>
          <w:rFonts w:ascii="Times New Roman" w:hAnsi="Times New Roman"/>
          <w:sz w:val="24"/>
          <w:szCs w:val="24"/>
        </w:rPr>
        <w:t>07</w:t>
      </w:r>
      <w:r w:rsidRPr="00C634E6">
        <w:rPr>
          <w:rFonts w:ascii="Times New Roman" w:hAnsi="Times New Roman"/>
          <w:sz w:val="24"/>
          <w:szCs w:val="24"/>
        </w:rPr>
        <w:t xml:space="preserve"> Бюджетного кодекса Российской Федерации</w:t>
      </w:r>
      <w:r>
        <w:rPr>
          <w:rFonts w:ascii="Times New Roman" w:hAnsi="Times New Roman"/>
          <w:sz w:val="24"/>
          <w:szCs w:val="24"/>
        </w:rPr>
        <w:t xml:space="preserve">, и не отражает реализацию определенной </w:t>
      </w:r>
      <w:r w:rsidRPr="00487692">
        <w:rPr>
          <w:rFonts w:ascii="Times New Roman" w:hAnsi="Times New Roman"/>
          <w:sz w:val="24"/>
          <w:szCs w:val="24"/>
        </w:rPr>
        <w:lastRenderedPageBreak/>
        <w:t xml:space="preserve">Основными направлениями бюджетной и налоговой политики области </w:t>
      </w:r>
      <w:r w:rsidRPr="00487692">
        <w:rPr>
          <w:rFonts w:ascii="Times New Roman" w:hAnsi="Times New Roman"/>
          <w:sz w:val="24"/>
          <w:szCs w:val="24"/>
        </w:rPr>
        <w:br/>
        <w:t>на 2015-2017 год</w:t>
      </w:r>
      <w:r>
        <w:rPr>
          <w:rFonts w:ascii="Times New Roman" w:hAnsi="Times New Roman"/>
          <w:sz w:val="24"/>
          <w:szCs w:val="24"/>
        </w:rPr>
        <w:t>ы задачи по сокращению данного показателя до 60,3 процента.</w:t>
      </w:r>
    </w:p>
    <w:p w:rsidR="009261EB" w:rsidRDefault="009261EB" w:rsidP="009261EB">
      <w:pPr>
        <w:pStyle w:val="ConsNonformat"/>
        <w:ind w:firstLine="709"/>
        <w:jc w:val="both"/>
        <w:rPr>
          <w:rFonts w:ascii="Times New Roman" w:hAnsi="Times New Roman" w:cs="Times New Roman"/>
          <w:sz w:val="24"/>
          <w:szCs w:val="24"/>
        </w:rPr>
      </w:pPr>
      <w:r w:rsidRPr="00C634E6">
        <w:rPr>
          <w:rFonts w:ascii="Times New Roman" w:hAnsi="Times New Roman" w:cs="Times New Roman"/>
          <w:sz w:val="24"/>
          <w:szCs w:val="24"/>
        </w:rPr>
        <w:t>В представленном законопроекте об областном бюджете на 201</w:t>
      </w:r>
      <w:r>
        <w:rPr>
          <w:rFonts w:ascii="Times New Roman" w:hAnsi="Times New Roman" w:cs="Times New Roman"/>
          <w:sz w:val="24"/>
          <w:szCs w:val="24"/>
        </w:rPr>
        <w:t>5</w:t>
      </w:r>
      <w:r w:rsidRPr="00C634E6">
        <w:rPr>
          <w:rFonts w:ascii="Times New Roman" w:hAnsi="Times New Roman" w:cs="Times New Roman"/>
          <w:sz w:val="24"/>
          <w:szCs w:val="24"/>
        </w:rPr>
        <w:t xml:space="preserve"> год и плановый период 201</w:t>
      </w:r>
      <w:r>
        <w:rPr>
          <w:rFonts w:ascii="Times New Roman" w:hAnsi="Times New Roman" w:cs="Times New Roman"/>
          <w:sz w:val="24"/>
          <w:szCs w:val="24"/>
        </w:rPr>
        <w:t>6</w:t>
      </w:r>
      <w:r w:rsidRPr="00C634E6">
        <w:rPr>
          <w:rFonts w:ascii="Times New Roman" w:hAnsi="Times New Roman" w:cs="Times New Roman"/>
          <w:sz w:val="24"/>
          <w:szCs w:val="24"/>
        </w:rPr>
        <w:t xml:space="preserve"> и 201</w:t>
      </w:r>
      <w:r>
        <w:rPr>
          <w:rFonts w:ascii="Times New Roman" w:hAnsi="Times New Roman" w:cs="Times New Roman"/>
          <w:sz w:val="24"/>
          <w:szCs w:val="24"/>
        </w:rPr>
        <w:t>7</w:t>
      </w:r>
      <w:r w:rsidRPr="00C634E6">
        <w:rPr>
          <w:rFonts w:ascii="Times New Roman" w:hAnsi="Times New Roman" w:cs="Times New Roman"/>
          <w:sz w:val="24"/>
          <w:szCs w:val="24"/>
        </w:rPr>
        <w:t xml:space="preserve"> годов осуществление государственных заимствований запланировано производить с учетом верхнего предела государственного внутреннего долга области, составляющего в 201</w:t>
      </w:r>
      <w:r>
        <w:rPr>
          <w:rFonts w:ascii="Times New Roman" w:hAnsi="Times New Roman" w:cs="Times New Roman"/>
          <w:sz w:val="24"/>
          <w:szCs w:val="24"/>
        </w:rPr>
        <w:t>5</w:t>
      </w:r>
      <w:r w:rsidRPr="00C634E6">
        <w:rPr>
          <w:rFonts w:ascii="Times New Roman" w:hAnsi="Times New Roman" w:cs="Times New Roman"/>
          <w:sz w:val="24"/>
          <w:szCs w:val="24"/>
        </w:rPr>
        <w:t xml:space="preserve"> году 2</w:t>
      </w:r>
      <w:r>
        <w:rPr>
          <w:rFonts w:ascii="Times New Roman" w:hAnsi="Times New Roman" w:cs="Times New Roman"/>
          <w:sz w:val="24"/>
          <w:szCs w:val="24"/>
        </w:rPr>
        <w:t>8840024,8</w:t>
      </w:r>
      <w:r w:rsidRPr="00C634E6">
        <w:rPr>
          <w:rFonts w:ascii="Times New Roman" w:hAnsi="Times New Roman" w:cs="Times New Roman"/>
          <w:sz w:val="24"/>
          <w:szCs w:val="24"/>
        </w:rPr>
        <w:t xml:space="preserve"> тыс. рублей, в 201</w:t>
      </w:r>
      <w:r>
        <w:rPr>
          <w:rFonts w:ascii="Times New Roman" w:hAnsi="Times New Roman" w:cs="Times New Roman"/>
          <w:sz w:val="24"/>
          <w:szCs w:val="24"/>
        </w:rPr>
        <w:t>6</w:t>
      </w:r>
      <w:r w:rsidRPr="00C634E6">
        <w:rPr>
          <w:rFonts w:ascii="Times New Roman" w:hAnsi="Times New Roman" w:cs="Times New Roman"/>
          <w:sz w:val="24"/>
          <w:szCs w:val="24"/>
        </w:rPr>
        <w:t xml:space="preserve"> году – </w:t>
      </w:r>
      <w:r>
        <w:rPr>
          <w:rFonts w:ascii="Times New Roman" w:hAnsi="Times New Roman" w:cs="Times New Roman"/>
          <w:sz w:val="24"/>
          <w:szCs w:val="24"/>
        </w:rPr>
        <w:t>28868418,3</w:t>
      </w:r>
      <w:r w:rsidRPr="00C634E6">
        <w:rPr>
          <w:rFonts w:ascii="Times New Roman" w:hAnsi="Times New Roman" w:cs="Times New Roman"/>
          <w:sz w:val="24"/>
          <w:szCs w:val="24"/>
        </w:rPr>
        <w:t xml:space="preserve"> тыс. рублей, в 201</w:t>
      </w:r>
      <w:r>
        <w:rPr>
          <w:rFonts w:ascii="Times New Roman" w:hAnsi="Times New Roman" w:cs="Times New Roman"/>
          <w:sz w:val="24"/>
          <w:szCs w:val="24"/>
        </w:rPr>
        <w:t>7</w:t>
      </w:r>
      <w:r w:rsidRPr="00C634E6">
        <w:rPr>
          <w:rFonts w:ascii="Times New Roman" w:hAnsi="Times New Roman" w:cs="Times New Roman"/>
          <w:sz w:val="24"/>
          <w:szCs w:val="24"/>
        </w:rPr>
        <w:t xml:space="preserve"> году – </w:t>
      </w:r>
      <w:r>
        <w:rPr>
          <w:rFonts w:ascii="Times New Roman" w:hAnsi="Times New Roman" w:cs="Times New Roman"/>
          <w:sz w:val="24"/>
          <w:szCs w:val="24"/>
        </w:rPr>
        <w:t>21262651,5</w:t>
      </w:r>
      <w:r w:rsidRPr="00C634E6">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9261EB">
        <w:rPr>
          <w:rFonts w:ascii="Times New Roman" w:hAnsi="Times New Roman" w:cs="Times New Roman"/>
          <w:sz w:val="24"/>
          <w:szCs w:val="24"/>
        </w:rPr>
        <w:t xml:space="preserve">На рисунке 20 </w:t>
      </w:r>
      <w:r w:rsidRPr="00C634E6">
        <w:rPr>
          <w:rFonts w:ascii="Times New Roman" w:hAnsi="Times New Roman" w:cs="Times New Roman"/>
          <w:sz w:val="24"/>
          <w:szCs w:val="24"/>
        </w:rPr>
        <w:t>отражены объемы верхнего предела государственного долга области в динамике с 201</w:t>
      </w:r>
      <w:r>
        <w:rPr>
          <w:rFonts w:ascii="Times New Roman" w:hAnsi="Times New Roman" w:cs="Times New Roman"/>
          <w:sz w:val="24"/>
          <w:szCs w:val="24"/>
        </w:rPr>
        <w:t>4</w:t>
      </w:r>
      <w:r w:rsidRPr="00C634E6">
        <w:rPr>
          <w:rFonts w:ascii="Times New Roman" w:hAnsi="Times New Roman" w:cs="Times New Roman"/>
          <w:sz w:val="24"/>
          <w:szCs w:val="24"/>
        </w:rPr>
        <w:t xml:space="preserve"> по 201</w:t>
      </w:r>
      <w:r>
        <w:rPr>
          <w:rFonts w:ascii="Times New Roman" w:hAnsi="Times New Roman" w:cs="Times New Roman"/>
          <w:sz w:val="24"/>
          <w:szCs w:val="24"/>
        </w:rPr>
        <w:t>7</w:t>
      </w:r>
      <w:r w:rsidRPr="00C634E6">
        <w:rPr>
          <w:rFonts w:ascii="Times New Roman" w:hAnsi="Times New Roman" w:cs="Times New Roman"/>
          <w:sz w:val="24"/>
          <w:szCs w:val="24"/>
        </w:rPr>
        <w:t xml:space="preserve"> годы.</w:t>
      </w:r>
    </w:p>
    <w:p w:rsidR="009261EB" w:rsidRDefault="009261EB" w:rsidP="009261EB">
      <w:pPr>
        <w:pStyle w:val="ConsNonformat"/>
        <w:jc w:val="both"/>
        <w:rPr>
          <w:rFonts w:ascii="Times New Roman" w:hAnsi="Times New Roman" w:cs="Times New Roman"/>
          <w:sz w:val="24"/>
          <w:szCs w:val="24"/>
        </w:rPr>
      </w:pPr>
      <w:r>
        <w:rPr>
          <w:rFonts w:ascii="Times New Roman" w:hAnsi="Times New Roman" w:cs="Times New Roman"/>
          <w:noProof/>
          <w:color w:val="7030A0"/>
          <w:sz w:val="24"/>
          <w:szCs w:val="24"/>
        </w:rPr>
        <w:drawing>
          <wp:inline distT="0" distB="0" distL="0" distR="0" wp14:anchorId="3DBB20C0" wp14:editId="4EE445F5">
            <wp:extent cx="6210300" cy="330517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261EB" w:rsidRDefault="009261EB" w:rsidP="009261EB">
      <w:pPr>
        <w:pStyle w:val="ConsNonformat"/>
        <w:jc w:val="center"/>
        <w:rPr>
          <w:rFonts w:ascii="Times New Roman" w:hAnsi="Times New Roman" w:cs="Times New Roman"/>
          <w:b/>
          <w:sz w:val="24"/>
          <w:szCs w:val="24"/>
        </w:rPr>
      </w:pPr>
      <w:r w:rsidRPr="009261EB">
        <w:rPr>
          <w:rFonts w:ascii="Times New Roman" w:hAnsi="Times New Roman" w:cs="Times New Roman"/>
          <w:b/>
          <w:sz w:val="24"/>
          <w:szCs w:val="24"/>
        </w:rPr>
        <w:t xml:space="preserve">Рис. 20 – </w:t>
      </w:r>
      <w:r>
        <w:rPr>
          <w:rFonts w:ascii="Times New Roman" w:hAnsi="Times New Roman" w:cs="Times New Roman"/>
          <w:b/>
          <w:sz w:val="24"/>
          <w:szCs w:val="24"/>
        </w:rPr>
        <w:t xml:space="preserve">Показатели объема верхнего предела государственного долга Амурской области </w:t>
      </w:r>
      <w:r w:rsidRPr="009546DA">
        <w:rPr>
          <w:rFonts w:ascii="Times New Roman" w:hAnsi="Times New Roman" w:cs="Times New Roman"/>
          <w:b/>
          <w:sz w:val="24"/>
          <w:szCs w:val="24"/>
        </w:rPr>
        <w:t>в 201</w:t>
      </w:r>
      <w:r>
        <w:rPr>
          <w:rFonts w:ascii="Times New Roman" w:hAnsi="Times New Roman" w:cs="Times New Roman"/>
          <w:b/>
          <w:sz w:val="24"/>
          <w:szCs w:val="24"/>
        </w:rPr>
        <w:t>4</w:t>
      </w:r>
      <w:r w:rsidRPr="009546DA">
        <w:rPr>
          <w:rFonts w:ascii="Times New Roman" w:hAnsi="Times New Roman" w:cs="Times New Roman"/>
          <w:b/>
          <w:sz w:val="24"/>
          <w:szCs w:val="24"/>
        </w:rPr>
        <w:t>-201</w:t>
      </w:r>
      <w:r>
        <w:rPr>
          <w:rFonts w:ascii="Times New Roman" w:hAnsi="Times New Roman" w:cs="Times New Roman"/>
          <w:b/>
          <w:sz w:val="24"/>
          <w:szCs w:val="24"/>
        </w:rPr>
        <w:t>7</w:t>
      </w:r>
      <w:r w:rsidRPr="009546DA">
        <w:rPr>
          <w:rFonts w:ascii="Times New Roman" w:hAnsi="Times New Roman" w:cs="Times New Roman"/>
          <w:b/>
          <w:sz w:val="24"/>
          <w:szCs w:val="24"/>
        </w:rPr>
        <w:t xml:space="preserve"> годах</w:t>
      </w:r>
      <w:r>
        <w:rPr>
          <w:rFonts w:ascii="Times New Roman" w:hAnsi="Times New Roman" w:cs="Times New Roman"/>
          <w:b/>
          <w:sz w:val="24"/>
          <w:szCs w:val="24"/>
        </w:rPr>
        <w:t xml:space="preserve"> (млн. руб.)</w:t>
      </w:r>
    </w:p>
    <w:p w:rsidR="009261EB" w:rsidRDefault="009261EB" w:rsidP="009261EB">
      <w:pPr>
        <w:pStyle w:val="ConsNonformat"/>
        <w:ind w:firstLine="709"/>
        <w:jc w:val="both"/>
        <w:rPr>
          <w:rFonts w:ascii="Times New Roman" w:hAnsi="Times New Roman" w:cs="Times New Roman"/>
          <w:sz w:val="24"/>
          <w:szCs w:val="24"/>
        </w:rPr>
      </w:pPr>
    </w:p>
    <w:p w:rsidR="009261EB" w:rsidRDefault="009261EB" w:rsidP="009261EB">
      <w:pPr>
        <w:spacing w:after="0" w:line="240" w:lineRule="auto"/>
        <w:ind w:firstLine="709"/>
        <w:jc w:val="both"/>
        <w:rPr>
          <w:rFonts w:ascii="Times New Roman" w:hAnsi="Times New Roman"/>
          <w:sz w:val="24"/>
          <w:szCs w:val="24"/>
        </w:rPr>
      </w:pPr>
      <w:r w:rsidRPr="00C634E6">
        <w:rPr>
          <w:rFonts w:ascii="Times New Roman" w:hAnsi="Times New Roman"/>
          <w:sz w:val="24"/>
          <w:szCs w:val="24"/>
        </w:rPr>
        <w:t>Таким образом, верхний предел государственного внутреннего долга Амурской области на 1 января 201</w:t>
      </w:r>
      <w:r>
        <w:rPr>
          <w:rFonts w:ascii="Times New Roman" w:hAnsi="Times New Roman"/>
          <w:sz w:val="24"/>
          <w:szCs w:val="24"/>
        </w:rPr>
        <w:t>6</w:t>
      </w:r>
      <w:r w:rsidRPr="00C634E6">
        <w:rPr>
          <w:rFonts w:ascii="Times New Roman" w:hAnsi="Times New Roman"/>
          <w:sz w:val="24"/>
          <w:szCs w:val="24"/>
        </w:rPr>
        <w:t xml:space="preserve"> года предусмотрен проектом областного бюджета на уровне </w:t>
      </w:r>
      <w:r>
        <w:rPr>
          <w:rFonts w:ascii="Times New Roman" w:hAnsi="Times New Roman"/>
          <w:sz w:val="24"/>
          <w:szCs w:val="24"/>
        </w:rPr>
        <w:t>28840024,8</w:t>
      </w:r>
      <w:r w:rsidRPr="00C634E6">
        <w:rPr>
          <w:rFonts w:ascii="Times New Roman" w:hAnsi="Times New Roman"/>
          <w:sz w:val="24"/>
          <w:szCs w:val="24"/>
        </w:rPr>
        <w:t xml:space="preserve"> тыс. рублей, что выше его ожидаемого уровня на 1 января 201</w:t>
      </w:r>
      <w:r>
        <w:rPr>
          <w:rFonts w:ascii="Times New Roman" w:hAnsi="Times New Roman"/>
          <w:sz w:val="24"/>
          <w:szCs w:val="24"/>
        </w:rPr>
        <w:t>5</w:t>
      </w:r>
      <w:r w:rsidRPr="00C634E6">
        <w:rPr>
          <w:rFonts w:ascii="Times New Roman" w:hAnsi="Times New Roman"/>
          <w:sz w:val="24"/>
          <w:szCs w:val="24"/>
        </w:rPr>
        <w:t xml:space="preserve"> года на </w:t>
      </w:r>
      <w:r w:rsidRPr="00C634E6">
        <w:rPr>
          <w:rFonts w:ascii="Times New Roman" w:hAnsi="Times New Roman"/>
          <w:sz w:val="24"/>
          <w:szCs w:val="24"/>
        </w:rPr>
        <w:br/>
      </w:r>
      <w:r>
        <w:rPr>
          <w:rFonts w:ascii="Times New Roman" w:hAnsi="Times New Roman"/>
          <w:sz w:val="24"/>
          <w:szCs w:val="24"/>
        </w:rPr>
        <w:t>1463509,0</w:t>
      </w:r>
      <w:r w:rsidRPr="00C634E6">
        <w:rPr>
          <w:rFonts w:ascii="Times New Roman" w:hAnsi="Times New Roman"/>
          <w:sz w:val="24"/>
          <w:szCs w:val="24"/>
        </w:rPr>
        <w:t xml:space="preserve"> тыс. рублей, или</w:t>
      </w:r>
      <w:r>
        <w:rPr>
          <w:rFonts w:ascii="Times New Roman" w:hAnsi="Times New Roman"/>
          <w:sz w:val="24"/>
          <w:szCs w:val="24"/>
        </w:rPr>
        <w:t xml:space="preserve"> 5,3 процента</w:t>
      </w:r>
      <w:r w:rsidRPr="00C634E6">
        <w:rPr>
          <w:rFonts w:ascii="Times New Roman" w:hAnsi="Times New Roman"/>
          <w:sz w:val="24"/>
          <w:szCs w:val="24"/>
        </w:rPr>
        <w:t xml:space="preserve"> </w:t>
      </w:r>
      <w:r w:rsidRPr="00D439B0">
        <w:rPr>
          <w:rFonts w:ascii="Times New Roman" w:hAnsi="Times New Roman"/>
          <w:sz w:val="24"/>
          <w:szCs w:val="24"/>
        </w:rPr>
        <w:t xml:space="preserve">(в соответствии с Законом Амурской области </w:t>
      </w:r>
      <w:r>
        <w:rPr>
          <w:rFonts w:ascii="Times New Roman" w:hAnsi="Times New Roman"/>
          <w:sz w:val="24"/>
          <w:szCs w:val="24"/>
        </w:rPr>
        <w:br/>
      </w:r>
      <w:r w:rsidRPr="00D439B0">
        <w:rPr>
          <w:rFonts w:ascii="Times New Roman" w:hAnsi="Times New Roman"/>
          <w:sz w:val="24"/>
          <w:szCs w:val="24"/>
        </w:rPr>
        <w:t>«Об областном бюджете на 201</w:t>
      </w:r>
      <w:r>
        <w:rPr>
          <w:rFonts w:ascii="Times New Roman" w:hAnsi="Times New Roman"/>
          <w:sz w:val="24"/>
          <w:szCs w:val="24"/>
        </w:rPr>
        <w:t>4</w:t>
      </w:r>
      <w:r w:rsidRPr="00D439B0">
        <w:rPr>
          <w:rFonts w:ascii="Times New Roman" w:hAnsi="Times New Roman"/>
          <w:sz w:val="24"/>
          <w:szCs w:val="24"/>
        </w:rPr>
        <w:t xml:space="preserve"> год и плановый период 201</w:t>
      </w:r>
      <w:r>
        <w:rPr>
          <w:rFonts w:ascii="Times New Roman" w:hAnsi="Times New Roman"/>
          <w:sz w:val="24"/>
          <w:szCs w:val="24"/>
        </w:rPr>
        <w:t>5</w:t>
      </w:r>
      <w:r w:rsidRPr="00D439B0">
        <w:rPr>
          <w:rFonts w:ascii="Times New Roman" w:hAnsi="Times New Roman"/>
          <w:sz w:val="24"/>
          <w:szCs w:val="24"/>
        </w:rPr>
        <w:t xml:space="preserve"> и 201</w:t>
      </w:r>
      <w:r>
        <w:rPr>
          <w:rFonts w:ascii="Times New Roman" w:hAnsi="Times New Roman"/>
          <w:sz w:val="24"/>
          <w:szCs w:val="24"/>
        </w:rPr>
        <w:t>6</w:t>
      </w:r>
      <w:r w:rsidRPr="00D439B0">
        <w:rPr>
          <w:rFonts w:ascii="Times New Roman" w:hAnsi="Times New Roman"/>
          <w:sz w:val="24"/>
          <w:szCs w:val="24"/>
        </w:rPr>
        <w:t xml:space="preserve"> годов» от 1</w:t>
      </w:r>
      <w:r>
        <w:rPr>
          <w:rFonts w:ascii="Times New Roman" w:hAnsi="Times New Roman"/>
          <w:sz w:val="24"/>
          <w:szCs w:val="24"/>
        </w:rPr>
        <w:t>6</w:t>
      </w:r>
      <w:r w:rsidRPr="00D439B0">
        <w:rPr>
          <w:rFonts w:ascii="Times New Roman" w:hAnsi="Times New Roman"/>
          <w:sz w:val="24"/>
          <w:szCs w:val="24"/>
        </w:rPr>
        <w:t xml:space="preserve">.12.2012 </w:t>
      </w:r>
      <w:r>
        <w:rPr>
          <w:rFonts w:ascii="Times New Roman" w:hAnsi="Times New Roman"/>
          <w:sz w:val="24"/>
          <w:szCs w:val="24"/>
        </w:rPr>
        <w:br/>
        <w:t xml:space="preserve">№ </w:t>
      </w:r>
      <w:r w:rsidRPr="00D439B0">
        <w:rPr>
          <w:rFonts w:ascii="Times New Roman" w:hAnsi="Times New Roman"/>
          <w:sz w:val="24"/>
          <w:szCs w:val="24"/>
        </w:rPr>
        <w:t>2</w:t>
      </w:r>
      <w:r>
        <w:rPr>
          <w:rFonts w:ascii="Times New Roman" w:hAnsi="Times New Roman"/>
          <w:sz w:val="24"/>
          <w:szCs w:val="24"/>
        </w:rPr>
        <w:t>98</w:t>
      </w:r>
      <w:r w:rsidRPr="00D439B0">
        <w:rPr>
          <w:rFonts w:ascii="Times New Roman" w:hAnsi="Times New Roman"/>
          <w:sz w:val="24"/>
          <w:szCs w:val="24"/>
        </w:rPr>
        <w:t>-ОЗ (в ред. от 2</w:t>
      </w:r>
      <w:r>
        <w:rPr>
          <w:rFonts w:ascii="Times New Roman" w:hAnsi="Times New Roman"/>
          <w:sz w:val="24"/>
          <w:szCs w:val="24"/>
        </w:rPr>
        <w:t>3</w:t>
      </w:r>
      <w:r w:rsidRPr="00D439B0">
        <w:rPr>
          <w:rFonts w:ascii="Times New Roman" w:hAnsi="Times New Roman"/>
          <w:sz w:val="24"/>
          <w:szCs w:val="24"/>
        </w:rPr>
        <w:t>.10.201</w:t>
      </w:r>
      <w:r>
        <w:rPr>
          <w:rFonts w:ascii="Times New Roman" w:hAnsi="Times New Roman"/>
          <w:sz w:val="24"/>
          <w:szCs w:val="24"/>
        </w:rPr>
        <w:t>4</w:t>
      </w:r>
      <w:r w:rsidRPr="00D439B0">
        <w:rPr>
          <w:rFonts w:ascii="Times New Roman" w:hAnsi="Times New Roman"/>
          <w:sz w:val="24"/>
          <w:szCs w:val="24"/>
        </w:rPr>
        <w:t xml:space="preserve"> № </w:t>
      </w:r>
      <w:r>
        <w:rPr>
          <w:rFonts w:ascii="Times New Roman" w:hAnsi="Times New Roman"/>
          <w:sz w:val="24"/>
          <w:szCs w:val="24"/>
        </w:rPr>
        <w:t>4</w:t>
      </w:r>
      <w:r w:rsidRPr="00D439B0">
        <w:rPr>
          <w:rFonts w:ascii="Times New Roman" w:hAnsi="Times New Roman"/>
          <w:sz w:val="24"/>
          <w:szCs w:val="24"/>
        </w:rPr>
        <w:t>2</w:t>
      </w:r>
      <w:r>
        <w:rPr>
          <w:rFonts w:ascii="Times New Roman" w:hAnsi="Times New Roman"/>
          <w:sz w:val="24"/>
          <w:szCs w:val="24"/>
        </w:rPr>
        <w:t>0</w:t>
      </w:r>
      <w:r w:rsidRPr="00D439B0">
        <w:rPr>
          <w:rFonts w:ascii="Times New Roman" w:hAnsi="Times New Roman"/>
          <w:sz w:val="24"/>
          <w:szCs w:val="24"/>
        </w:rPr>
        <w:t>-ОЗ)</w:t>
      </w:r>
      <w:r>
        <w:rPr>
          <w:rFonts w:ascii="Times New Roman" w:hAnsi="Times New Roman"/>
          <w:sz w:val="24"/>
          <w:szCs w:val="24"/>
        </w:rPr>
        <w:t xml:space="preserve"> в</w:t>
      </w:r>
      <w:r w:rsidRPr="00D439B0">
        <w:rPr>
          <w:rFonts w:ascii="Times New Roman" w:hAnsi="Times New Roman"/>
          <w:sz w:val="24"/>
          <w:szCs w:val="24"/>
        </w:rPr>
        <w:t>ерхний предел государственного внутреннего долга Амурской области на 01 января 201</w:t>
      </w:r>
      <w:r>
        <w:rPr>
          <w:rFonts w:ascii="Times New Roman" w:hAnsi="Times New Roman"/>
          <w:sz w:val="24"/>
          <w:szCs w:val="24"/>
        </w:rPr>
        <w:t>5</w:t>
      </w:r>
      <w:r w:rsidRPr="00D439B0">
        <w:rPr>
          <w:rFonts w:ascii="Times New Roman" w:hAnsi="Times New Roman"/>
          <w:sz w:val="24"/>
          <w:szCs w:val="24"/>
        </w:rPr>
        <w:t xml:space="preserve"> года прогнозируется в сумме </w:t>
      </w:r>
      <w:r w:rsidRPr="00C14089">
        <w:rPr>
          <w:rFonts w:ascii="Times New Roman" w:hAnsi="Times New Roman"/>
          <w:sz w:val="24"/>
          <w:szCs w:val="24"/>
        </w:rPr>
        <w:t xml:space="preserve">27376515,8 тыс. </w:t>
      </w:r>
      <w:r w:rsidRPr="00D439B0">
        <w:rPr>
          <w:rFonts w:ascii="Times New Roman" w:hAnsi="Times New Roman"/>
          <w:sz w:val="24"/>
          <w:szCs w:val="24"/>
        </w:rPr>
        <w:t>рублей),</w:t>
      </w:r>
      <w:r w:rsidRPr="00C634E6">
        <w:rPr>
          <w:rFonts w:ascii="Times New Roman" w:hAnsi="Times New Roman"/>
          <w:i/>
          <w:sz w:val="24"/>
          <w:szCs w:val="24"/>
        </w:rPr>
        <w:t xml:space="preserve"> </w:t>
      </w:r>
      <w:r w:rsidRPr="00C634E6">
        <w:rPr>
          <w:rFonts w:ascii="Times New Roman" w:hAnsi="Times New Roman"/>
          <w:sz w:val="24"/>
          <w:szCs w:val="24"/>
        </w:rPr>
        <w:t>на плано</w:t>
      </w:r>
      <w:r>
        <w:rPr>
          <w:rFonts w:ascii="Times New Roman" w:hAnsi="Times New Roman"/>
          <w:sz w:val="24"/>
          <w:szCs w:val="24"/>
        </w:rPr>
        <w:t>вый период 2016</w:t>
      </w:r>
      <w:r w:rsidRPr="00C634E6">
        <w:rPr>
          <w:rFonts w:ascii="Times New Roman" w:hAnsi="Times New Roman"/>
          <w:sz w:val="24"/>
          <w:szCs w:val="24"/>
        </w:rPr>
        <w:t xml:space="preserve"> и 201</w:t>
      </w:r>
      <w:r>
        <w:rPr>
          <w:rFonts w:ascii="Times New Roman" w:hAnsi="Times New Roman"/>
          <w:sz w:val="24"/>
          <w:szCs w:val="24"/>
        </w:rPr>
        <w:t>7</w:t>
      </w:r>
      <w:r w:rsidRPr="00C634E6">
        <w:rPr>
          <w:rFonts w:ascii="Times New Roman" w:hAnsi="Times New Roman"/>
          <w:sz w:val="24"/>
          <w:szCs w:val="24"/>
        </w:rPr>
        <w:t xml:space="preserve"> годов предусм</w:t>
      </w:r>
      <w:r>
        <w:rPr>
          <w:rFonts w:ascii="Times New Roman" w:hAnsi="Times New Roman"/>
          <w:sz w:val="24"/>
          <w:szCs w:val="24"/>
        </w:rPr>
        <w:t>отрен</w:t>
      </w:r>
      <w:r w:rsidRPr="00C14089">
        <w:rPr>
          <w:rFonts w:ascii="Times New Roman" w:hAnsi="Times New Roman"/>
          <w:sz w:val="24"/>
          <w:szCs w:val="24"/>
        </w:rPr>
        <w:t xml:space="preserve"> </w:t>
      </w:r>
      <w:r w:rsidRPr="00C634E6">
        <w:rPr>
          <w:rFonts w:ascii="Times New Roman" w:hAnsi="Times New Roman"/>
          <w:sz w:val="24"/>
          <w:szCs w:val="24"/>
        </w:rPr>
        <w:t>рост верхнего предела государственного внутреннего долга области</w:t>
      </w:r>
      <w:r>
        <w:rPr>
          <w:rFonts w:ascii="Times New Roman" w:hAnsi="Times New Roman"/>
          <w:sz w:val="24"/>
          <w:szCs w:val="24"/>
        </w:rPr>
        <w:t xml:space="preserve"> на 01 января 2017 года на 1</w:t>
      </w:r>
      <w:r w:rsidRPr="00C634E6">
        <w:rPr>
          <w:rFonts w:ascii="Times New Roman" w:hAnsi="Times New Roman"/>
          <w:sz w:val="24"/>
          <w:szCs w:val="24"/>
        </w:rPr>
        <w:t>,</w:t>
      </w:r>
      <w:r>
        <w:rPr>
          <w:rFonts w:ascii="Times New Roman" w:hAnsi="Times New Roman"/>
          <w:sz w:val="24"/>
          <w:szCs w:val="24"/>
        </w:rPr>
        <w:t>7</w:t>
      </w:r>
      <w:r w:rsidRPr="00C634E6">
        <w:rPr>
          <w:rFonts w:ascii="Times New Roman" w:hAnsi="Times New Roman"/>
          <w:sz w:val="24"/>
          <w:szCs w:val="24"/>
        </w:rPr>
        <w:t xml:space="preserve"> процента</w:t>
      </w:r>
      <w:r>
        <w:rPr>
          <w:rFonts w:ascii="Times New Roman" w:hAnsi="Times New Roman"/>
          <w:sz w:val="24"/>
          <w:szCs w:val="24"/>
        </w:rPr>
        <w:t xml:space="preserve"> и достаточно резкое, </w:t>
      </w:r>
      <w:r w:rsidRPr="00C634E6">
        <w:rPr>
          <w:rFonts w:ascii="Times New Roman" w:hAnsi="Times New Roman"/>
          <w:sz w:val="24"/>
          <w:szCs w:val="24"/>
        </w:rPr>
        <w:t xml:space="preserve">на </w:t>
      </w:r>
      <w:r>
        <w:rPr>
          <w:rFonts w:ascii="Times New Roman" w:hAnsi="Times New Roman"/>
          <w:sz w:val="24"/>
          <w:szCs w:val="24"/>
        </w:rPr>
        <w:t>25</w:t>
      </w:r>
      <w:r w:rsidRPr="00C634E6">
        <w:rPr>
          <w:rFonts w:ascii="Times New Roman" w:hAnsi="Times New Roman"/>
          <w:sz w:val="24"/>
          <w:szCs w:val="24"/>
        </w:rPr>
        <w:t>,</w:t>
      </w:r>
      <w:r>
        <w:rPr>
          <w:rFonts w:ascii="Times New Roman" w:hAnsi="Times New Roman"/>
          <w:sz w:val="24"/>
          <w:szCs w:val="24"/>
        </w:rPr>
        <w:t>1</w:t>
      </w:r>
      <w:r w:rsidRPr="00C634E6">
        <w:rPr>
          <w:rFonts w:ascii="Times New Roman" w:hAnsi="Times New Roman"/>
          <w:sz w:val="24"/>
          <w:szCs w:val="24"/>
        </w:rPr>
        <w:t xml:space="preserve"> процент</w:t>
      </w:r>
      <w:r>
        <w:rPr>
          <w:rFonts w:ascii="Times New Roman" w:hAnsi="Times New Roman"/>
          <w:sz w:val="24"/>
          <w:szCs w:val="24"/>
        </w:rPr>
        <w:t>а</w:t>
      </w:r>
      <w:r w:rsidRPr="00C634E6">
        <w:rPr>
          <w:rFonts w:ascii="Times New Roman" w:hAnsi="Times New Roman"/>
          <w:sz w:val="24"/>
          <w:szCs w:val="24"/>
        </w:rPr>
        <w:t xml:space="preserve"> по отношению к о</w:t>
      </w:r>
      <w:r>
        <w:rPr>
          <w:rFonts w:ascii="Times New Roman" w:hAnsi="Times New Roman"/>
          <w:sz w:val="24"/>
          <w:szCs w:val="24"/>
        </w:rPr>
        <w:t xml:space="preserve">жидаемому уровню текущего года, снижение </w:t>
      </w:r>
      <w:r w:rsidRPr="00C634E6">
        <w:rPr>
          <w:rFonts w:ascii="Times New Roman" w:hAnsi="Times New Roman"/>
          <w:sz w:val="24"/>
          <w:szCs w:val="24"/>
        </w:rPr>
        <w:t>верхнего предела государственного внутреннего долга области</w:t>
      </w:r>
      <w:r>
        <w:rPr>
          <w:rFonts w:ascii="Times New Roman" w:hAnsi="Times New Roman"/>
          <w:sz w:val="24"/>
          <w:szCs w:val="24"/>
        </w:rPr>
        <w:t xml:space="preserve"> </w:t>
      </w:r>
      <w:r w:rsidRPr="00C634E6">
        <w:rPr>
          <w:rFonts w:ascii="Times New Roman" w:hAnsi="Times New Roman"/>
          <w:sz w:val="24"/>
          <w:szCs w:val="24"/>
        </w:rPr>
        <w:t xml:space="preserve">на </w:t>
      </w:r>
      <w:r>
        <w:rPr>
          <w:rFonts w:ascii="Times New Roman" w:hAnsi="Times New Roman"/>
          <w:sz w:val="24"/>
          <w:szCs w:val="24"/>
        </w:rPr>
        <w:br/>
      </w:r>
      <w:r w:rsidRPr="00C634E6">
        <w:rPr>
          <w:rFonts w:ascii="Times New Roman" w:hAnsi="Times New Roman"/>
          <w:sz w:val="24"/>
          <w:szCs w:val="24"/>
        </w:rPr>
        <w:t>01 января 201</w:t>
      </w:r>
      <w:r>
        <w:rPr>
          <w:rFonts w:ascii="Times New Roman" w:hAnsi="Times New Roman"/>
          <w:sz w:val="24"/>
          <w:szCs w:val="24"/>
        </w:rPr>
        <w:t>8</w:t>
      </w:r>
      <w:r w:rsidRPr="00C634E6">
        <w:rPr>
          <w:rFonts w:ascii="Times New Roman" w:hAnsi="Times New Roman"/>
          <w:sz w:val="24"/>
          <w:szCs w:val="24"/>
        </w:rPr>
        <w:t xml:space="preserve"> года</w:t>
      </w:r>
      <w:r>
        <w:rPr>
          <w:rFonts w:ascii="Times New Roman" w:hAnsi="Times New Roman"/>
          <w:sz w:val="24"/>
          <w:szCs w:val="24"/>
        </w:rPr>
        <w:t>.</w:t>
      </w:r>
    </w:p>
    <w:p w:rsidR="009261EB" w:rsidRDefault="009261EB" w:rsidP="009261EB">
      <w:pPr>
        <w:spacing w:after="0" w:line="240" w:lineRule="auto"/>
        <w:ind w:firstLine="709"/>
        <w:jc w:val="both"/>
        <w:rPr>
          <w:rFonts w:ascii="Times New Roman" w:hAnsi="Times New Roman"/>
          <w:bCs/>
          <w:sz w:val="24"/>
          <w:szCs w:val="24"/>
        </w:rPr>
      </w:pPr>
      <w:r w:rsidRPr="00C634E6">
        <w:rPr>
          <w:rFonts w:ascii="Times New Roman" w:hAnsi="Times New Roman"/>
          <w:sz w:val="24"/>
          <w:szCs w:val="24"/>
        </w:rPr>
        <w:t xml:space="preserve">Текстовая часть представленного законопроекта содержит сведения о предельных объемах государственного долга Амурской области, которые установлены </w:t>
      </w:r>
      <w:r>
        <w:rPr>
          <w:rFonts w:ascii="Times New Roman" w:hAnsi="Times New Roman"/>
          <w:sz w:val="24"/>
          <w:szCs w:val="24"/>
        </w:rPr>
        <w:t>в размерах, предлагаемых к утверждению</w:t>
      </w:r>
      <w:r w:rsidRPr="00F45D33">
        <w:rPr>
          <w:rFonts w:ascii="Times New Roman" w:hAnsi="Times New Roman"/>
          <w:bCs/>
          <w:sz w:val="24"/>
          <w:szCs w:val="24"/>
        </w:rPr>
        <w:t xml:space="preserve"> </w:t>
      </w:r>
      <w:r w:rsidRPr="00C634E6">
        <w:rPr>
          <w:rFonts w:ascii="Times New Roman" w:hAnsi="Times New Roman"/>
          <w:bCs/>
          <w:sz w:val="24"/>
          <w:szCs w:val="24"/>
        </w:rPr>
        <w:t>общих годовых объемов доход</w:t>
      </w:r>
      <w:r>
        <w:rPr>
          <w:rFonts w:ascii="Times New Roman" w:hAnsi="Times New Roman"/>
          <w:bCs/>
          <w:sz w:val="24"/>
          <w:szCs w:val="24"/>
        </w:rPr>
        <w:t xml:space="preserve">ов </w:t>
      </w:r>
      <w:r w:rsidRPr="00C634E6">
        <w:rPr>
          <w:rFonts w:ascii="Times New Roman" w:hAnsi="Times New Roman"/>
          <w:bCs/>
          <w:sz w:val="24"/>
          <w:szCs w:val="24"/>
        </w:rPr>
        <w:t>областного бюджета без учета объем</w:t>
      </w:r>
      <w:r>
        <w:rPr>
          <w:rFonts w:ascii="Times New Roman" w:hAnsi="Times New Roman"/>
          <w:bCs/>
          <w:sz w:val="24"/>
          <w:szCs w:val="24"/>
        </w:rPr>
        <w:t>ов</w:t>
      </w:r>
      <w:r w:rsidRPr="00C634E6">
        <w:rPr>
          <w:rFonts w:ascii="Times New Roman" w:hAnsi="Times New Roman"/>
          <w:bCs/>
          <w:sz w:val="24"/>
          <w:szCs w:val="24"/>
        </w:rPr>
        <w:t xml:space="preserve"> безвозмездных поступлений</w:t>
      </w:r>
      <w:r>
        <w:rPr>
          <w:rFonts w:ascii="Times New Roman" w:hAnsi="Times New Roman"/>
          <w:bCs/>
          <w:sz w:val="24"/>
          <w:szCs w:val="24"/>
        </w:rPr>
        <w:t xml:space="preserve">, и составляют </w:t>
      </w:r>
      <w:r w:rsidRPr="00C634E6">
        <w:rPr>
          <w:rFonts w:ascii="Times New Roman" w:hAnsi="Times New Roman"/>
          <w:sz w:val="24"/>
          <w:szCs w:val="24"/>
        </w:rPr>
        <w:t>на 201</w:t>
      </w:r>
      <w:r>
        <w:rPr>
          <w:rFonts w:ascii="Times New Roman" w:hAnsi="Times New Roman"/>
          <w:sz w:val="24"/>
          <w:szCs w:val="24"/>
        </w:rPr>
        <w:t>5</w:t>
      </w:r>
      <w:r w:rsidRPr="00C634E6">
        <w:rPr>
          <w:rFonts w:ascii="Times New Roman" w:hAnsi="Times New Roman"/>
          <w:sz w:val="24"/>
          <w:szCs w:val="24"/>
        </w:rPr>
        <w:t xml:space="preserve"> год </w:t>
      </w:r>
      <w:r>
        <w:rPr>
          <w:rFonts w:ascii="Times New Roman" w:hAnsi="Times New Roman"/>
          <w:sz w:val="24"/>
          <w:szCs w:val="24"/>
        </w:rPr>
        <w:t>–</w:t>
      </w:r>
      <w:r w:rsidRPr="00C634E6">
        <w:rPr>
          <w:rFonts w:ascii="Times New Roman" w:hAnsi="Times New Roman"/>
          <w:sz w:val="24"/>
          <w:szCs w:val="24"/>
        </w:rPr>
        <w:t xml:space="preserve"> </w:t>
      </w:r>
      <w:r>
        <w:rPr>
          <w:rFonts w:ascii="Times New Roman" w:hAnsi="Times New Roman"/>
          <w:sz w:val="24"/>
          <w:szCs w:val="24"/>
        </w:rPr>
        <w:t>30907801,1</w:t>
      </w:r>
      <w:r w:rsidRPr="00C634E6">
        <w:rPr>
          <w:rFonts w:ascii="Times New Roman" w:hAnsi="Times New Roman"/>
          <w:sz w:val="24"/>
          <w:szCs w:val="24"/>
        </w:rPr>
        <w:t xml:space="preserve"> тыс. рублей, на 201</w:t>
      </w:r>
      <w:r>
        <w:rPr>
          <w:rFonts w:ascii="Times New Roman" w:hAnsi="Times New Roman"/>
          <w:sz w:val="24"/>
          <w:szCs w:val="24"/>
        </w:rPr>
        <w:t>6</w:t>
      </w:r>
      <w:r w:rsidRPr="00C634E6">
        <w:rPr>
          <w:rFonts w:ascii="Times New Roman" w:hAnsi="Times New Roman"/>
          <w:sz w:val="24"/>
          <w:szCs w:val="24"/>
        </w:rPr>
        <w:t xml:space="preserve"> год – </w:t>
      </w:r>
      <w:r>
        <w:rPr>
          <w:rFonts w:ascii="Times New Roman" w:hAnsi="Times New Roman"/>
          <w:sz w:val="24"/>
          <w:szCs w:val="24"/>
        </w:rPr>
        <w:t>32844987,3</w:t>
      </w:r>
      <w:r w:rsidRPr="00C634E6">
        <w:rPr>
          <w:rFonts w:ascii="Times New Roman" w:hAnsi="Times New Roman"/>
          <w:sz w:val="24"/>
          <w:szCs w:val="24"/>
        </w:rPr>
        <w:t xml:space="preserve"> тыс. рублей, на 201</w:t>
      </w:r>
      <w:r>
        <w:rPr>
          <w:rFonts w:ascii="Times New Roman" w:hAnsi="Times New Roman"/>
          <w:sz w:val="24"/>
          <w:szCs w:val="24"/>
        </w:rPr>
        <w:t>7</w:t>
      </w:r>
      <w:r w:rsidRPr="00C634E6">
        <w:rPr>
          <w:rFonts w:ascii="Times New Roman" w:hAnsi="Times New Roman"/>
          <w:sz w:val="24"/>
          <w:szCs w:val="24"/>
        </w:rPr>
        <w:t xml:space="preserve"> год – </w:t>
      </w:r>
      <w:r>
        <w:rPr>
          <w:rFonts w:ascii="Times New Roman" w:hAnsi="Times New Roman"/>
          <w:sz w:val="24"/>
          <w:szCs w:val="24"/>
        </w:rPr>
        <w:t>35260127,6 тыс. рублей</w:t>
      </w:r>
      <w:r>
        <w:rPr>
          <w:rFonts w:ascii="Times New Roman" w:hAnsi="Times New Roman"/>
          <w:bCs/>
          <w:sz w:val="24"/>
          <w:szCs w:val="24"/>
        </w:rPr>
        <w:t>.</w:t>
      </w:r>
    </w:p>
    <w:p w:rsidR="009261EB" w:rsidRDefault="009261EB" w:rsidP="009261EB">
      <w:pPr>
        <w:spacing w:after="0" w:line="240" w:lineRule="auto"/>
        <w:ind w:firstLine="709"/>
        <w:jc w:val="both"/>
        <w:rPr>
          <w:rFonts w:ascii="Times New Roman" w:hAnsi="Times New Roman"/>
          <w:sz w:val="24"/>
          <w:szCs w:val="24"/>
        </w:rPr>
      </w:pPr>
      <w:r w:rsidRPr="00C634E6">
        <w:rPr>
          <w:rFonts w:ascii="Times New Roman" w:hAnsi="Times New Roman"/>
          <w:sz w:val="24"/>
          <w:szCs w:val="24"/>
        </w:rPr>
        <w:t>Планируемая величина верхнего предела государственного долга Амурской области в 201</w:t>
      </w:r>
      <w:r>
        <w:rPr>
          <w:rFonts w:ascii="Times New Roman" w:hAnsi="Times New Roman"/>
          <w:sz w:val="24"/>
          <w:szCs w:val="24"/>
        </w:rPr>
        <w:t>5</w:t>
      </w:r>
      <w:r w:rsidRPr="00C634E6">
        <w:rPr>
          <w:rFonts w:ascii="Times New Roman" w:hAnsi="Times New Roman"/>
          <w:sz w:val="24"/>
          <w:szCs w:val="24"/>
        </w:rPr>
        <w:t xml:space="preserve"> году составит </w:t>
      </w:r>
      <w:r>
        <w:rPr>
          <w:rFonts w:ascii="Times New Roman" w:hAnsi="Times New Roman"/>
          <w:sz w:val="24"/>
          <w:szCs w:val="24"/>
        </w:rPr>
        <w:t>93</w:t>
      </w:r>
      <w:r w:rsidRPr="00C634E6">
        <w:rPr>
          <w:rFonts w:ascii="Times New Roman" w:hAnsi="Times New Roman"/>
          <w:sz w:val="24"/>
          <w:szCs w:val="24"/>
        </w:rPr>
        <w:t>,</w:t>
      </w:r>
      <w:r>
        <w:rPr>
          <w:rFonts w:ascii="Times New Roman" w:hAnsi="Times New Roman"/>
          <w:sz w:val="24"/>
          <w:szCs w:val="24"/>
        </w:rPr>
        <w:t>3</w:t>
      </w:r>
      <w:r w:rsidRPr="00C634E6">
        <w:rPr>
          <w:rFonts w:ascii="Times New Roman" w:hAnsi="Times New Roman"/>
          <w:sz w:val="24"/>
          <w:szCs w:val="24"/>
        </w:rPr>
        <w:t xml:space="preserve"> процента общего годового объема доходов областного бюджета на 201</w:t>
      </w:r>
      <w:r>
        <w:rPr>
          <w:rFonts w:ascii="Times New Roman" w:hAnsi="Times New Roman"/>
          <w:sz w:val="24"/>
          <w:szCs w:val="24"/>
        </w:rPr>
        <w:t>5</w:t>
      </w:r>
      <w:r w:rsidRPr="00C634E6">
        <w:rPr>
          <w:rFonts w:ascii="Times New Roman" w:hAnsi="Times New Roman"/>
          <w:sz w:val="24"/>
          <w:szCs w:val="24"/>
        </w:rPr>
        <w:t xml:space="preserve"> год без учета объемов безвозмездных поступлений. В 201</w:t>
      </w:r>
      <w:r>
        <w:rPr>
          <w:rFonts w:ascii="Times New Roman" w:hAnsi="Times New Roman"/>
          <w:sz w:val="24"/>
          <w:szCs w:val="24"/>
        </w:rPr>
        <w:t>6</w:t>
      </w:r>
      <w:r w:rsidRPr="00C634E6">
        <w:rPr>
          <w:rFonts w:ascii="Times New Roman" w:hAnsi="Times New Roman"/>
          <w:sz w:val="24"/>
          <w:szCs w:val="24"/>
        </w:rPr>
        <w:t xml:space="preserve"> и 201</w:t>
      </w:r>
      <w:r>
        <w:rPr>
          <w:rFonts w:ascii="Times New Roman" w:hAnsi="Times New Roman"/>
          <w:sz w:val="24"/>
          <w:szCs w:val="24"/>
        </w:rPr>
        <w:t>7</w:t>
      </w:r>
      <w:r w:rsidRPr="00C634E6">
        <w:rPr>
          <w:rFonts w:ascii="Times New Roman" w:hAnsi="Times New Roman"/>
          <w:sz w:val="24"/>
          <w:szCs w:val="24"/>
        </w:rPr>
        <w:t xml:space="preserve"> годах величина верхнего предела государственного долга Амурской области по отношению к годовому объему доходов областного бюджета на 201</w:t>
      </w:r>
      <w:r>
        <w:rPr>
          <w:rFonts w:ascii="Times New Roman" w:hAnsi="Times New Roman"/>
          <w:sz w:val="24"/>
          <w:szCs w:val="24"/>
        </w:rPr>
        <w:t>6</w:t>
      </w:r>
      <w:r w:rsidRPr="00C634E6">
        <w:rPr>
          <w:rFonts w:ascii="Times New Roman" w:hAnsi="Times New Roman"/>
          <w:sz w:val="24"/>
          <w:szCs w:val="24"/>
        </w:rPr>
        <w:t xml:space="preserve"> и 201</w:t>
      </w:r>
      <w:r>
        <w:rPr>
          <w:rFonts w:ascii="Times New Roman" w:hAnsi="Times New Roman"/>
          <w:sz w:val="24"/>
          <w:szCs w:val="24"/>
        </w:rPr>
        <w:t>7</w:t>
      </w:r>
      <w:r w:rsidRPr="00C634E6">
        <w:rPr>
          <w:rFonts w:ascii="Times New Roman" w:hAnsi="Times New Roman"/>
          <w:sz w:val="24"/>
          <w:szCs w:val="24"/>
        </w:rPr>
        <w:t xml:space="preserve"> год</w:t>
      </w:r>
      <w:r>
        <w:rPr>
          <w:rFonts w:ascii="Times New Roman" w:hAnsi="Times New Roman"/>
          <w:sz w:val="24"/>
          <w:szCs w:val="24"/>
        </w:rPr>
        <w:t>ы</w:t>
      </w:r>
      <w:r w:rsidRPr="00C634E6">
        <w:rPr>
          <w:rFonts w:ascii="Times New Roman" w:hAnsi="Times New Roman"/>
          <w:sz w:val="24"/>
          <w:szCs w:val="24"/>
        </w:rPr>
        <w:t xml:space="preserve"> без учета объемов безвозмездных поступлений прогнозируется соответственно </w:t>
      </w:r>
      <w:r>
        <w:rPr>
          <w:rFonts w:ascii="Times New Roman" w:hAnsi="Times New Roman"/>
          <w:sz w:val="24"/>
          <w:szCs w:val="24"/>
        </w:rPr>
        <w:t>87</w:t>
      </w:r>
      <w:r w:rsidRPr="00C634E6">
        <w:rPr>
          <w:rFonts w:ascii="Times New Roman" w:hAnsi="Times New Roman"/>
          <w:sz w:val="24"/>
          <w:szCs w:val="24"/>
        </w:rPr>
        <w:t>,</w:t>
      </w:r>
      <w:r>
        <w:rPr>
          <w:rFonts w:ascii="Times New Roman" w:hAnsi="Times New Roman"/>
          <w:sz w:val="24"/>
          <w:szCs w:val="24"/>
        </w:rPr>
        <w:t>9</w:t>
      </w:r>
      <w:r w:rsidRPr="00C634E6">
        <w:rPr>
          <w:rFonts w:ascii="Times New Roman" w:hAnsi="Times New Roman"/>
          <w:sz w:val="24"/>
          <w:szCs w:val="24"/>
        </w:rPr>
        <w:t xml:space="preserve"> и </w:t>
      </w:r>
      <w:r>
        <w:rPr>
          <w:rFonts w:ascii="Times New Roman" w:hAnsi="Times New Roman"/>
          <w:sz w:val="24"/>
          <w:szCs w:val="24"/>
        </w:rPr>
        <w:t>60,3</w:t>
      </w:r>
      <w:r w:rsidRPr="00C634E6">
        <w:rPr>
          <w:rFonts w:ascii="Times New Roman" w:hAnsi="Times New Roman"/>
          <w:sz w:val="24"/>
          <w:szCs w:val="24"/>
        </w:rPr>
        <w:t xml:space="preserve"> процента, что не превышает </w:t>
      </w:r>
      <w:r w:rsidRPr="00C634E6">
        <w:rPr>
          <w:rFonts w:ascii="Times New Roman" w:hAnsi="Times New Roman"/>
          <w:sz w:val="24"/>
          <w:szCs w:val="24"/>
        </w:rPr>
        <w:lastRenderedPageBreak/>
        <w:t xml:space="preserve">установленного статьей 107 Бюджетного кодекса Российской Федерации предела, </w:t>
      </w:r>
      <w:r>
        <w:rPr>
          <w:rFonts w:ascii="Times New Roman" w:hAnsi="Times New Roman"/>
          <w:sz w:val="24"/>
          <w:szCs w:val="24"/>
        </w:rPr>
        <w:t>и</w:t>
      </w:r>
      <w:r w:rsidRPr="00C634E6">
        <w:rPr>
          <w:rFonts w:ascii="Times New Roman" w:hAnsi="Times New Roman"/>
          <w:sz w:val="24"/>
          <w:szCs w:val="24"/>
        </w:rPr>
        <w:t xml:space="preserve"> свидетельствует о </w:t>
      </w:r>
      <w:r>
        <w:rPr>
          <w:rFonts w:ascii="Times New Roman" w:hAnsi="Times New Roman"/>
          <w:sz w:val="24"/>
          <w:szCs w:val="24"/>
        </w:rPr>
        <w:t>прогнозируемом сниже</w:t>
      </w:r>
      <w:r w:rsidRPr="00C634E6">
        <w:rPr>
          <w:rFonts w:ascii="Times New Roman" w:hAnsi="Times New Roman"/>
          <w:sz w:val="24"/>
          <w:szCs w:val="24"/>
        </w:rPr>
        <w:t>нии объемов заимствований</w:t>
      </w:r>
      <w:r w:rsidR="00E8079A">
        <w:rPr>
          <w:rFonts w:ascii="Times New Roman" w:hAnsi="Times New Roman"/>
          <w:sz w:val="24"/>
          <w:szCs w:val="24"/>
        </w:rPr>
        <w:t>.</w:t>
      </w:r>
    </w:p>
    <w:p w:rsidR="009261EB" w:rsidRPr="007871EF" w:rsidRDefault="009261EB" w:rsidP="009261EB">
      <w:pPr>
        <w:pStyle w:val="rvps698610"/>
        <w:widowControl w:val="0"/>
        <w:spacing w:after="0"/>
        <w:ind w:right="0" w:firstLine="709"/>
        <w:jc w:val="both"/>
      </w:pPr>
      <w:r w:rsidRPr="007871EF">
        <w:t xml:space="preserve">Прогнозные показатели верхнего предела государственного долга в 2015 и 2016 году характеризуют высокую долговую нагрузку областного бюджета (93,3 процента и </w:t>
      </w:r>
      <w:r>
        <w:br/>
      </w:r>
      <w:r w:rsidRPr="007871EF">
        <w:t xml:space="preserve">87,9 процента соответственно), в 2017 значительно сокращаются (60,3 процента), что свидетельствует о планируемой реализации задачи в части сокращения темпов роста государственного долга Амурской области и перехода к безопасной долговой нагрузке. </w:t>
      </w:r>
      <w:r>
        <w:br/>
      </w:r>
      <w:r w:rsidRPr="007871EF">
        <w:t xml:space="preserve">При этом контрольно-счетная палата области отмечает, что в соответствии с законопроектом об областном бюджете на 2015 и плановый период 2016 и 2017 годов прогнозируемое сокращение в 2017 году величины государственного внутреннего долга Амурской области при незначительном росте объема налоговых и неналоговых доходов областного бюджета сопровождается значительным сокращением объема расходов областного бюджета </w:t>
      </w:r>
      <w:r>
        <w:br/>
      </w:r>
      <w:r w:rsidRPr="007871EF">
        <w:t>на 2017 год, что в свою очередь отразится на социально-экономическ</w:t>
      </w:r>
      <w:r w:rsidR="00E8079A">
        <w:t>ой ситуации в Амурской области.</w:t>
      </w:r>
    </w:p>
    <w:p w:rsidR="009261EB" w:rsidRPr="007871EF" w:rsidRDefault="009261EB" w:rsidP="009261EB">
      <w:pPr>
        <w:pStyle w:val="ConsNonformat"/>
        <w:ind w:firstLine="709"/>
        <w:jc w:val="both"/>
        <w:rPr>
          <w:rFonts w:ascii="Times New Roman" w:hAnsi="Times New Roman" w:cs="Times New Roman"/>
          <w:sz w:val="24"/>
          <w:szCs w:val="24"/>
        </w:rPr>
      </w:pPr>
      <w:r w:rsidRPr="00C634E6">
        <w:rPr>
          <w:rFonts w:ascii="Times New Roman" w:hAnsi="Times New Roman" w:cs="Times New Roman"/>
          <w:sz w:val="24"/>
          <w:szCs w:val="24"/>
        </w:rPr>
        <w:t xml:space="preserve">В структуре государственного внутреннего долга Амурской области наибольший удельный вес будут занимать обязательства в форме кредитов кредитных организаций, </w:t>
      </w:r>
      <w:r w:rsidRPr="00C634E6">
        <w:rPr>
          <w:rFonts w:ascii="Times New Roman" w:hAnsi="Times New Roman" w:cs="Times New Roman"/>
          <w:sz w:val="24"/>
          <w:szCs w:val="24"/>
        </w:rPr>
        <w:br/>
        <w:t>на 1 января 201</w:t>
      </w:r>
      <w:r>
        <w:rPr>
          <w:rFonts w:ascii="Times New Roman" w:hAnsi="Times New Roman" w:cs="Times New Roman"/>
          <w:sz w:val="24"/>
          <w:szCs w:val="24"/>
        </w:rPr>
        <w:t xml:space="preserve">6 года – </w:t>
      </w:r>
      <w:r w:rsidRPr="007871EF">
        <w:rPr>
          <w:rFonts w:ascii="Times New Roman" w:hAnsi="Times New Roman" w:cs="Times New Roman"/>
          <w:sz w:val="24"/>
          <w:szCs w:val="24"/>
        </w:rPr>
        <w:t>80,1 процента, на 1 января 2017 года – 86,1 процента, на 1 ян</w:t>
      </w:r>
      <w:r w:rsidR="00236995">
        <w:rPr>
          <w:rFonts w:ascii="Times New Roman" w:hAnsi="Times New Roman" w:cs="Times New Roman"/>
          <w:sz w:val="24"/>
          <w:szCs w:val="24"/>
        </w:rPr>
        <w:t>варя 2018 года – 83,5 процента.</w:t>
      </w:r>
    </w:p>
    <w:p w:rsidR="009261EB" w:rsidRPr="00C634E6" w:rsidRDefault="009261EB" w:rsidP="009261EB">
      <w:pPr>
        <w:pStyle w:val="ConsNonformat"/>
        <w:ind w:firstLine="709"/>
        <w:jc w:val="both"/>
        <w:rPr>
          <w:rFonts w:ascii="Times New Roman" w:hAnsi="Times New Roman" w:cs="Times New Roman"/>
          <w:sz w:val="24"/>
          <w:szCs w:val="24"/>
        </w:rPr>
      </w:pPr>
      <w:r w:rsidRPr="0035142D">
        <w:rPr>
          <w:rFonts w:ascii="Times New Roman" w:hAnsi="Times New Roman" w:cs="Times New Roman"/>
          <w:sz w:val="24"/>
          <w:szCs w:val="24"/>
        </w:rPr>
        <w:t>Согласно программ</w:t>
      </w:r>
      <w:r>
        <w:rPr>
          <w:rFonts w:ascii="Times New Roman" w:hAnsi="Times New Roman" w:cs="Times New Roman"/>
          <w:sz w:val="24"/>
          <w:szCs w:val="24"/>
        </w:rPr>
        <w:t xml:space="preserve">е </w:t>
      </w:r>
      <w:r w:rsidRPr="0035142D">
        <w:rPr>
          <w:rFonts w:ascii="Times New Roman" w:hAnsi="Times New Roman" w:cs="Times New Roman"/>
          <w:sz w:val="24"/>
          <w:szCs w:val="24"/>
        </w:rPr>
        <w:t xml:space="preserve">государственных внутренних заимствований Амурской области на 2015 и плановый период 2016 и 2017 годов </w:t>
      </w:r>
      <w:r w:rsidRPr="00C634E6">
        <w:rPr>
          <w:rFonts w:ascii="Times New Roman" w:hAnsi="Times New Roman" w:cs="Times New Roman"/>
          <w:sz w:val="24"/>
          <w:szCs w:val="24"/>
        </w:rPr>
        <w:t xml:space="preserve">планируется привлечь кредиты кредитных организаций </w:t>
      </w:r>
      <w:r>
        <w:rPr>
          <w:rFonts w:ascii="Times New Roman" w:hAnsi="Times New Roman" w:cs="Times New Roman"/>
          <w:sz w:val="24"/>
          <w:szCs w:val="24"/>
        </w:rPr>
        <w:t xml:space="preserve">в </w:t>
      </w:r>
      <w:r w:rsidRPr="00C634E6">
        <w:rPr>
          <w:rFonts w:ascii="Times New Roman" w:hAnsi="Times New Roman" w:cs="Times New Roman"/>
          <w:sz w:val="24"/>
          <w:szCs w:val="24"/>
        </w:rPr>
        <w:t>201</w:t>
      </w:r>
      <w:r>
        <w:rPr>
          <w:rFonts w:ascii="Times New Roman" w:hAnsi="Times New Roman" w:cs="Times New Roman"/>
          <w:sz w:val="24"/>
          <w:szCs w:val="24"/>
        </w:rPr>
        <w:t>5</w:t>
      </w:r>
      <w:r w:rsidRPr="00C634E6">
        <w:rPr>
          <w:rFonts w:ascii="Times New Roman" w:hAnsi="Times New Roman" w:cs="Times New Roman"/>
          <w:sz w:val="24"/>
          <w:szCs w:val="24"/>
        </w:rPr>
        <w:t xml:space="preserve"> году в сумме </w:t>
      </w:r>
      <w:r>
        <w:rPr>
          <w:rFonts w:ascii="Times New Roman" w:hAnsi="Times New Roman" w:cs="Times New Roman"/>
          <w:sz w:val="24"/>
          <w:szCs w:val="24"/>
        </w:rPr>
        <w:t xml:space="preserve">22418003,9 </w:t>
      </w:r>
      <w:r w:rsidRPr="00C634E6">
        <w:rPr>
          <w:rFonts w:ascii="Times New Roman" w:hAnsi="Times New Roman" w:cs="Times New Roman"/>
          <w:sz w:val="24"/>
          <w:szCs w:val="24"/>
        </w:rPr>
        <w:t xml:space="preserve">тыс. рублей, </w:t>
      </w:r>
      <w:r w:rsidRPr="0064552F">
        <w:rPr>
          <w:rFonts w:ascii="Times New Roman" w:hAnsi="Times New Roman" w:cs="Times New Roman"/>
          <w:sz w:val="24"/>
          <w:szCs w:val="24"/>
        </w:rPr>
        <w:t xml:space="preserve">что на </w:t>
      </w:r>
      <w:r>
        <w:rPr>
          <w:rFonts w:ascii="Times New Roman" w:hAnsi="Times New Roman" w:cs="Times New Roman"/>
          <w:sz w:val="24"/>
          <w:szCs w:val="24"/>
        </w:rPr>
        <w:t>5278219,6</w:t>
      </w:r>
      <w:r w:rsidRPr="0064552F">
        <w:rPr>
          <w:rFonts w:ascii="Times New Roman" w:hAnsi="Times New Roman" w:cs="Times New Roman"/>
          <w:sz w:val="24"/>
          <w:szCs w:val="24"/>
        </w:rPr>
        <w:t xml:space="preserve"> тыс. рублей, или </w:t>
      </w:r>
      <w:r>
        <w:rPr>
          <w:rFonts w:ascii="Times New Roman" w:hAnsi="Times New Roman" w:cs="Times New Roman"/>
          <w:sz w:val="24"/>
          <w:szCs w:val="24"/>
        </w:rPr>
        <w:t>30,8</w:t>
      </w:r>
      <w:r w:rsidRPr="0064552F">
        <w:rPr>
          <w:rFonts w:ascii="Times New Roman" w:hAnsi="Times New Roman" w:cs="Times New Roman"/>
          <w:sz w:val="24"/>
          <w:szCs w:val="24"/>
        </w:rPr>
        <w:t xml:space="preserve"> процента</w:t>
      </w:r>
      <w:r w:rsidR="00236995">
        <w:rPr>
          <w:rFonts w:ascii="Times New Roman" w:hAnsi="Times New Roman" w:cs="Times New Roman"/>
          <w:sz w:val="24"/>
          <w:szCs w:val="24"/>
        </w:rPr>
        <w:t>,</w:t>
      </w:r>
      <w:r w:rsidRPr="0064552F">
        <w:rPr>
          <w:rFonts w:ascii="Times New Roman" w:hAnsi="Times New Roman" w:cs="Times New Roman"/>
          <w:sz w:val="24"/>
          <w:szCs w:val="24"/>
        </w:rPr>
        <w:t xml:space="preserve"> </w:t>
      </w:r>
      <w:r>
        <w:rPr>
          <w:rFonts w:ascii="Times New Roman" w:hAnsi="Times New Roman" w:cs="Times New Roman"/>
          <w:sz w:val="24"/>
          <w:szCs w:val="24"/>
        </w:rPr>
        <w:t>выше</w:t>
      </w:r>
      <w:r w:rsidRPr="0064552F">
        <w:rPr>
          <w:rFonts w:ascii="Times New Roman" w:hAnsi="Times New Roman" w:cs="Times New Roman"/>
          <w:sz w:val="24"/>
          <w:szCs w:val="24"/>
        </w:rPr>
        <w:t xml:space="preserve"> планового объема привлечени</w:t>
      </w:r>
      <w:r>
        <w:rPr>
          <w:rFonts w:ascii="Times New Roman" w:hAnsi="Times New Roman" w:cs="Times New Roman"/>
          <w:sz w:val="24"/>
          <w:szCs w:val="24"/>
        </w:rPr>
        <w:t>я</w:t>
      </w:r>
      <w:r w:rsidRPr="0064552F">
        <w:rPr>
          <w:rFonts w:ascii="Times New Roman" w:hAnsi="Times New Roman" w:cs="Times New Roman"/>
          <w:sz w:val="24"/>
          <w:szCs w:val="24"/>
        </w:rPr>
        <w:t xml:space="preserve"> кредитов кредитных организаций </w:t>
      </w:r>
      <w:r>
        <w:rPr>
          <w:rFonts w:ascii="Times New Roman" w:hAnsi="Times New Roman" w:cs="Times New Roman"/>
          <w:sz w:val="24"/>
          <w:szCs w:val="24"/>
        </w:rPr>
        <w:br/>
      </w:r>
      <w:r w:rsidRPr="0064552F">
        <w:rPr>
          <w:rFonts w:ascii="Times New Roman" w:hAnsi="Times New Roman" w:cs="Times New Roman"/>
          <w:sz w:val="24"/>
          <w:szCs w:val="24"/>
        </w:rPr>
        <w:t>в 201</w:t>
      </w:r>
      <w:r>
        <w:rPr>
          <w:rFonts w:ascii="Times New Roman" w:hAnsi="Times New Roman" w:cs="Times New Roman"/>
          <w:sz w:val="24"/>
          <w:szCs w:val="24"/>
        </w:rPr>
        <w:t>4</w:t>
      </w:r>
      <w:r w:rsidRPr="0064552F">
        <w:rPr>
          <w:rFonts w:ascii="Times New Roman" w:hAnsi="Times New Roman" w:cs="Times New Roman"/>
          <w:sz w:val="24"/>
          <w:szCs w:val="24"/>
        </w:rPr>
        <w:t xml:space="preserve"> году (17</w:t>
      </w:r>
      <w:r>
        <w:rPr>
          <w:rFonts w:ascii="Times New Roman" w:hAnsi="Times New Roman" w:cs="Times New Roman"/>
          <w:sz w:val="24"/>
          <w:szCs w:val="24"/>
        </w:rPr>
        <w:t>139784</w:t>
      </w:r>
      <w:r w:rsidRPr="0064552F">
        <w:rPr>
          <w:rFonts w:ascii="Times New Roman" w:hAnsi="Times New Roman" w:cs="Times New Roman"/>
          <w:sz w:val="24"/>
          <w:szCs w:val="24"/>
        </w:rPr>
        <w:t>,</w:t>
      </w:r>
      <w:r>
        <w:rPr>
          <w:rFonts w:ascii="Times New Roman" w:hAnsi="Times New Roman" w:cs="Times New Roman"/>
          <w:sz w:val="24"/>
          <w:szCs w:val="24"/>
        </w:rPr>
        <w:t>3</w:t>
      </w:r>
      <w:r w:rsidRPr="0064552F">
        <w:rPr>
          <w:rFonts w:ascii="Times New Roman" w:hAnsi="Times New Roman" w:cs="Times New Roman"/>
          <w:sz w:val="24"/>
          <w:szCs w:val="24"/>
        </w:rPr>
        <w:t xml:space="preserve"> тыс. рублей), в 201</w:t>
      </w:r>
      <w:r>
        <w:rPr>
          <w:rFonts w:ascii="Times New Roman" w:hAnsi="Times New Roman" w:cs="Times New Roman"/>
          <w:sz w:val="24"/>
          <w:szCs w:val="24"/>
        </w:rPr>
        <w:t>6</w:t>
      </w:r>
      <w:r w:rsidRPr="0064552F">
        <w:rPr>
          <w:rFonts w:ascii="Times New Roman" w:hAnsi="Times New Roman" w:cs="Times New Roman"/>
          <w:sz w:val="24"/>
          <w:szCs w:val="24"/>
        </w:rPr>
        <w:t xml:space="preserve"> году объем привлечения кредитов кредитных организаций прогнозируется в размере </w:t>
      </w:r>
      <w:r>
        <w:rPr>
          <w:rFonts w:ascii="Times New Roman" w:hAnsi="Times New Roman" w:cs="Times New Roman"/>
          <w:sz w:val="24"/>
          <w:szCs w:val="24"/>
        </w:rPr>
        <w:t>17485660,8</w:t>
      </w:r>
      <w:r w:rsidRPr="0064552F">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C634E6">
        <w:rPr>
          <w:rFonts w:ascii="Times New Roman" w:hAnsi="Times New Roman" w:cs="Times New Roman"/>
          <w:sz w:val="24"/>
          <w:szCs w:val="24"/>
        </w:rPr>
        <w:t xml:space="preserve"> </w:t>
      </w:r>
      <w:r>
        <w:rPr>
          <w:rFonts w:ascii="Times New Roman" w:hAnsi="Times New Roman" w:cs="Times New Roman"/>
          <w:sz w:val="24"/>
          <w:szCs w:val="24"/>
        </w:rPr>
        <w:t>с ростом на 2,0 процента по сравнению</w:t>
      </w:r>
      <w:r w:rsidRPr="0035142D">
        <w:rPr>
          <w:rFonts w:ascii="Times New Roman" w:hAnsi="Times New Roman" w:cs="Times New Roman"/>
          <w:sz w:val="24"/>
          <w:szCs w:val="24"/>
        </w:rPr>
        <w:t xml:space="preserve"> </w:t>
      </w:r>
      <w:r>
        <w:rPr>
          <w:rFonts w:ascii="Times New Roman" w:hAnsi="Times New Roman" w:cs="Times New Roman"/>
          <w:sz w:val="24"/>
          <w:szCs w:val="24"/>
        </w:rPr>
        <w:t>с плановым объемом привлечения</w:t>
      </w:r>
      <w:r w:rsidRPr="00C634E6">
        <w:rPr>
          <w:rFonts w:ascii="Times New Roman" w:hAnsi="Times New Roman" w:cs="Times New Roman"/>
          <w:sz w:val="24"/>
          <w:szCs w:val="24"/>
        </w:rPr>
        <w:t xml:space="preserve"> кредитов кредитных организаций 201</w:t>
      </w:r>
      <w:r>
        <w:rPr>
          <w:rFonts w:ascii="Times New Roman" w:hAnsi="Times New Roman" w:cs="Times New Roman"/>
          <w:sz w:val="24"/>
          <w:szCs w:val="24"/>
        </w:rPr>
        <w:t xml:space="preserve">4 года, </w:t>
      </w:r>
      <w:r>
        <w:rPr>
          <w:rFonts w:ascii="Times New Roman" w:hAnsi="Times New Roman" w:cs="Times New Roman"/>
          <w:sz w:val="24"/>
          <w:szCs w:val="24"/>
        </w:rPr>
        <w:br/>
      </w:r>
      <w:r w:rsidRPr="00C634E6">
        <w:rPr>
          <w:rFonts w:ascii="Times New Roman" w:hAnsi="Times New Roman" w:cs="Times New Roman"/>
          <w:sz w:val="24"/>
          <w:szCs w:val="24"/>
        </w:rPr>
        <w:t>в 201</w:t>
      </w:r>
      <w:r>
        <w:rPr>
          <w:rFonts w:ascii="Times New Roman" w:hAnsi="Times New Roman" w:cs="Times New Roman"/>
          <w:sz w:val="24"/>
          <w:szCs w:val="24"/>
        </w:rPr>
        <w:t>7</w:t>
      </w:r>
      <w:r w:rsidRPr="00C634E6">
        <w:rPr>
          <w:rFonts w:ascii="Times New Roman" w:hAnsi="Times New Roman" w:cs="Times New Roman"/>
          <w:sz w:val="24"/>
          <w:szCs w:val="24"/>
        </w:rPr>
        <w:t xml:space="preserve"> году – </w:t>
      </w:r>
      <w:r>
        <w:rPr>
          <w:rFonts w:ascii="Times New Roman" w:hAnsi="Times New Roman" w:cs="Times New Roman"/>
          <w:sz w:val="24"/>
          <w:szCs w:val="24"/>
        </w:rPr>
        <w:t>2745333,2</w:t>
      </w:r>
      <w:r w:rsidRPr="00C634E6">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C634E6">
        <w:rPr>
          <w:rFonts w:ascii="Times New Roman" w:hAnsi="Times New Roman" w:cs="Times New Roman"/>
          <w:sz w:val="24"/>
          <w:szCs w:val="24"/>
        </w:rPr>
        <w:t xml:space="preserve"> с</w:t>
      </w:r>
      <w:r>
        <w:rPr>
          <w:rFonts w:ascii="Times New Roman" w:hAnsi="Times New Roman" w:cs="Times New Roman"/>
          <w:sz w:val="24"/>
          <w:szCs w:val="24"/>
        </w:rPr>
        <w:t>о снижением</w:t>
      </w:r>
      <w:r w:rsidRPr="00C634E6">
        <w:rPr>
          <w:rFonts w:ascii="Times New Roman" w:hAnsi="Times New Roman" w:cs="Times New Roman"/>
          <w:sz w:val="24"/>
          <w:szCs w:val="24"/>
        </w:rPr>
        <w:t xml:space="preserve"> </w:t>
      </w:r>
      <w:r>
        <w:rPr>
          <w:rFonts w:ascii="Times New Roman" w:hAnsi="Times New Roman" w:cs="Times New Roman"/>
          <w:sz w:val="24"/>
          <w:szCs w:val="24"/>
        </w:rPr>
        <w:t>на 84,0 процента</w:t>
      </w:r>
      <w:r w:rsidRPr="00C634E6">
        <w:rPr>
          <w:rFonts w:ascii="Times New Roman" w:hAnsi="Times New Roman" w:cs="Times New Roman"/>
          <w:sz w:val="24"/>
          <w:szCs w:val="24"/>
        </w:rPr>
        <w:t xml:space="preserve"> по сравнени</w:t>
      </w:r>
      <w:r>
        <w:rPr>
          <w:rFonts w:ascii="Times New Roman" w:hAnsi="Times New Roman" w:cs="Times New Roman"/>
          <w:sz w:val="24"/>
          <w:szCs w:val="24"/>
        </w:rPr>
        <w:t>ю с плановым объемом привлечения</w:t>
      </w:r>
      <w:r w:rsidRPr="00C634E6">
        <w:rPr>
          <w:rFonts w:ascii="Times New Roman" w:hAnsi="Times New Roman" w:cs="Times New Roman"/>
          <w:sz w:val="24"/>
          <w:szCs w:val="24"/>
        </w:rPr>
        <w:t xml:space="preserve"> кредитов кредитных организаций 201</w:t>
      </w:r>
      <w:r>
        <w:rPr>
          <w:rFonts w:ascii="Times New Roman" w:hAnsi="Times New Roman" w:cs="Times New Roman"/>
          <w:sz w:val="24"/>
          <w:szCs w:val="24"/>
        </w:rPr>
        <w:t>4 года.</w:t>
      </w:r>
    </w:p>
    <w:p w:rsidR="009261EB" w:rsidRDefault="009261EB" w:rsidP="009261EB">
      <w:pPr>
        <w:pStyle w:val="ConsNonformat"/>
        <w:ind w:firstLine="709"/>
        <w:jc w:val="both"/>
        <w:rPr>
          <w:rFonts w:ascii="Times New Roman" w:hAnsi="Times New Roman" w:cs="Times New Roman"/>
          <w:sz w:val="24"/>
          <w:szCs w:val="24"/>
        </w:rPr>
      </w:pPr>
      <w:r w:rsidRPr="00C634E6">
        <w:rPr>
          <w:rFonts w:ascii="Times New Roman" w:hAnsi="Times New Roman" w:cs="Times New Roman"/>
          <w:sz w:val="24"/>
          <w:szCs w:val="24"/>
        </w:rPr>
        <w:t xml:space="preserve">На </w:t>
      </w:r>
      <w:r w:rsidRPr="00D8461E">
        <w:rPr>
          <w:rFonts w:ascii="Times New Roman" w:hAnsi="Times New Roman" w:cs="Times New Roman"/>
          <w:sz w:val="24"/>
          <w:szCs w:val="24"/>
        </w:rPr>
        <w:t xml:space="preserve">рисунке </w:t>
      </w:r>
      <w:r w:rsidR="00D8461E" w:rsidRPr="00D8461E">
        <w:rPr>
          <w:rFonts w:ascii="Times New Roman" w:hAnsi="Times New Roman" w:cs="Times New Roman"/>
          <w:sz w:val="24"/>
          <w:szCs w:val="24"/>
        </w:rPr>
        <w:t>21</w:t>
      </w:r>
      <w:r w:rsidRPr="00D8461E">
        <w:rPr>
          <w:rFonts w:ascii="Times New Roman" w:hAnsi="Times New Roman" w:cs="Times New Roman"/>
          <w:sz w:val="24"/>
          <w:szCs w:val="24"/>
        </w:rPr>
        <w:t xml:space="preserve"> </w:t>
      </w:r>
      <w:r w:rsidRPr="00C634E6">
        <w:rPr>
          <w:rFonts w:ascii="Times New Roman" w:hAnsi="Times New Roman" w:cs="Times New Roman"/>
          <w:sz w:val="24"/>
          <w:szCs w:val="24"/>
        </w:rPr>
        <w:t>отражены объемы планируемого привлечения кредитов кредитных организаций в динамике с 201</w:t>
      </w:r>
      <w:r>
        <w:rPr>
          <w:rFonts w:ascii="Times New Roman" w:hAnsi="Times New Roman" w:cs="Times New Roman"/>
          <w:sz w:val="24"/>
          <w:szCs w:val="24"/>
        </w:rPr>
        <w:t>4</w:t>
      </w:r>
      <w:r w:rsidRPr="00C634E6">
        <w:rPr>
          <w:rFonts w:ascii="Times New Roman" w:hAnsi="Times New Roman" w:cs="Times New Roman"/>
          <w:sz w:val="24"/>
          <w:szCs w:val="24"/>
        </w:rPr>
        <w:t xml:space="preserve"> по 201</w:t>
      </w:r>
      <w:r>
        <w:rPr>
          <w:rFonts w:ascii="Times New Roman" w:hAnsi="Times New Roman" w:cs="Times New Roman"/>
          <w:sz w:val="24"/>
          <w:szCs w:val="24"/>
        </w:rPr>
        <w:t>7</w:t>
      </w:r>
      <w:r w:rsidRPr="00C634E6">
        <w:rPr>
          <w:rFonts w:ascii="Times New Roman" w:hAnsi="Times New Roman" w:cs="Times New Roman"/>
          <w:sz w:val="24"/>
          <w:szCs w:val="24"/>
        </w:rPr>
        <w:t xml:space="preserve"> годы.</w:t>
      </w:r>
    </w:p>
    <w:p w:rsidR="009261EB" w:rsidRDefault="009261EB" w:rsidP="009261EB">
      <w:pPr>
        <w:pStyle w:val="ConsNonformat"/>
        <w:jc w:val="center"/>
        <w:rPr>
          <w:rFonts w:ascii="Times New Roman" w:hAnsi="Times New Roman" w:cs="Times New Roman"/>
          <w:b/>
          <w:sz w:val="24"/>
          <w:szCs w:val="24"/>
        </w:rPr>
      </w:pPr>
      <w:r>
        <w:rPr>
          <w:rFonts w:ascii="Times New Roman" w:hAnsi="Times New Roman" w:cs="Times New Roman"/>
          <w:noProof/>
          <w:color w:val="7030A0"/>
          <w:sz w:val="24"/>
          <w:szCs w:val="24"/>
        </w:rPr>
        <w:drawing>
          <wp:inline distT="0" distB="0" distL="0" distR="0" wp14:anchorId="265CAA89" wp14:editId="4C071E23">
            <wp:extent cx="6119495" cy="3542372"/>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D8461E">
        <w:rPr>
          <w:rFonts w:ascii="Times New Roman" w:hAnsi="Times New Roman" w:cs="Times New Roman"/>
          <w:b/>
          <w:sz w:val="24"/>
          <w:szCs w:val="24"/>
        </w:rPr>
        <w:t xml:space="preserve">Рис. </w:t>
      </w:r>
      <w:r w:rsidR="00D8461E" w:rsidRPr="00D8461E">
        <w:rPr>
          <w:rFonts w:ascii="Times New Roman" w:hAnsi="Times New Roman" w:cs="Times New Roman"/>
          <w:b/>
          <w:sz w:val="24"/>
          <w:szCs w:val="24"/>
        </w:rPr>
        <w:t>21</w:t>
      </w:r>
      <w:r w:rsidRPr="00D8461E">
        <w:rPr>
          <w:rFonts w:ascii="Times New Roman" w:hAnsi="Times New Roman" w:cs="Times New Roman"/>
          <w:b/>
          <w:sz w:val="24"/>
          <w:szCs w:val="24"/>
        </w:rPr>
        <w:t xml:space="preserve"> – </w:t>
      </w:r>
      <w:r w:rsidRPr="009546DA">
        <w:rPr>
          <w:rFonts w:ascii="Times New Roman" w:hAnsi="Times New Roman" w:cs="Times New Roman"/>
          <w:b/>
          <w:sz w:val="24"/>
          <w:szCs w:val="24"/>
        </w:rPr>
        <w:t>О</w:t>
      </w:r>
      <w:r>
        <w:rPr>
          <w:rFonts w:ascii="Times New Roman" w:hAnsi="Times New Roman" w:cs="Times New Roman"/>
          <w:b/>
          <w:sz w:val="24"/>
          <w:szCs w:val="24"/>
        </w:rPr>
        <w:t xml:space="preserve">бъемы </w:t>
      </w:r>
      <w:r w:rsidRPr="009546DA">
        <w:rPr>
          <w:rFonts w:ascii="Times New Roman" w:hAnsi="Times New Roman" w:cs="Times New Roman"/>
          <w:b/>
          <w:sz w:val="24"/>
          <w:szCs w:val="24"/>
        </w:rPr>
        <w:t xml:space="preserve">планируемого привлечения </w:t>
      </w:r>
      <w:r>
        <w:rPr>
          <w:rFonts w:ascii="Times New Roman" w:hAnsi="Times New Roman" w:cs="Times New Roman"/>
          <w:b/>
          <w:sz w:val="24"/>
          <w:szCs w:val="24"/>
        </w:rPr>
        <w:t>кредитов кредитных организаций</w:t>
      </w:r>
    </w:p>
    <w:p w:rsidR="009261EB" w:rsidRPr="00190764" w:rsidRDefault="009261EB" w:rsidP="009261EB">
      <w:pPr>
        <w:pStyle w:val="ConsNonformat"/>
        <w:jc w:val="center"/>
        <w:rPr>
          <w:rFonts w:ascii="Times New Roman" w:hAnsi="Times New Roman" w:cs="Times New Roman"/>
          <w:b/>
          <w:sz w:val="24"/>
          <w:szCs w:val="24"/>
        </w:rPr>
      </w:pPr>
      <w:r>
        <w:rPr>
          <w:rFonts w:ascii="Times New Roman" w:hAnsi="Times New Roman" w:cs="Times New Roman"/>
          <w:b/>
          <w:sz w:val="24"/>
          <w:szCs w:val="24"/>
        </w:rPr>
        <w:t>в 2014-</w:t>
      </w:r>
      <w:r w:rsidRPr="009546DA">
        <w:rPr>
          <w:rFonts w:ascii="Times New Roman" w:hAnsi="Times New Roman" w:cs="Times New Roman"/>
          <w:b/>
          <w:sz w:val="24"/>
          <w:szCs w:val="24"/>
        </w:rPr>
        <w:t>201</w:t>
      </w:r>
      <w:r>
        <w:rPr>
          <w:rFonts w:ascii="Times New Roman" w:hAnsi="Times New Roman" w:cs="Times New Roman"/>
          <w:b/>
          <w:sz w:val="24"/>
          <w:szCs w:val="24"/>
        </w:rPr>
        <w:t xml:space="preserve">7 </w:t>
      </w:r>
      <w:r w:rsidRPr="009546DA">
        <w:rPr>
          <w:rFonts w:ascii="Times New Roman" w:hAnsi="Times New Roman" w:cs="Times New Roman"/>
          <w:b/>
          <w:sz w:val="24"/>
          <w:szCs w:val="24"/>
        </w:rPr>
        <w:t>год</w:t>
      </w:r>
      <w:r>
        <w:rPr>
          <w:rFonts w:ascii="Times New Roman" w:hAnsi="Times New Roman" w:cs="Times New Roman"/>
          <w:b/>
          <w:sz w:val="24"/>
          <w:szCs w:val="24"/>
        </w:rPr>
        <w:t>ах (млн. руб.)</w:t>
      </w:r>
    </w:p>
    <w:p w:rsidR="009261EB" w:rsidRPr="00C634E6" w:rsidRDefault="009261EB" w:rsidP="009261EB">
      <w:pPr>
        <w:pStyle w:val="ConsNonformat"/>
        <w:ind w:firstLine="709"/>
        <w:jc w:val="both"/>
        <w:rPr>
          <w:rFonts w:ascii="Times New Roman" w:hAnsi="Times New Roman" w:cs="Times New Roman"/>
          <w:sz w:val="24"/>
          <w:szCs w:val="24"/>
        </w:rPr>
      </w:pPr>
      <w:r w:rsidRPr="00C634E6">
        <w:rPr>
          <w:rFonts w:ascii="Times New Roman" w:hAnsi="Times New Roman" w:cs="Times New Roman"/>
          <w:sz w:val="24"/>
          <w:szCs w:val="24"/>
        </w:rPr>
        <w:t>Объем средств, планируемых к направлению на погашение обязательств по кредитам кредитных организаций, составляет в 201</w:t>
      </w:r>
      <w:r>
        <w:rPr>
          <w:rFonts w:ascii="Times New Roman" w:hAnsi="Times New Roman" w:cs="Times New Roman"/>
          <w:sz w:val="24"/>
          <w:szCs w:val="24"/>
        </w:rPr>
        <w:t>5</w:t>
      </w:r>
      <w:r w:rsidRPr="00C634E6">
        <w:rPr>
          <w:rFonts w:ascii="Times New Roman" w:hAnsi="Times New Roman" w:cs="Times New Roman"/>
          <w:sz w:val="24"/>
          <w:szCs w:val="24"/>
        </w:rPr>
        <w:t xml:space="preserve"> году </w:t>
      </w:r>
      <w:r>
        <w:rPr>
          <w:rFonts w:ascii="Times New Roman" w:hAnsi="Times New Roman" w:cs="Times New Roman"/>
          <w:sz w:val="24"/>
          <w:szCs w:val="24"/>
        </w:rPr>
        <w:t>–</w:t>
      </w:r>
      <w:r w:rsidRPr="00C634E6">
        <w:rPr>
          <w:rFonts w:ascii="Times New Roman" w:hAnsi="Times New Roman" w:cs="Times New Roman"/>
          <w:sz w:val="24"/>
          <w:szCs w:val="24"/>
        </w:rPr>
        <w:t xml:space="preserve"> </w:t>
      </w:r>
      <w:r>
        <w:rPr>
          <w:rFonts w:ascii="Times New Roman" w:hAnsi="Times New Roman" w:cs="Times New Roman"/>
          <w:sz w:val="24"/>
          <w:szCs w:val="24"/>
        </w:rPr>
        <w:t>18491760,0</w:t>
      </w:r>
      <w:r w:rsidRPr="00C634E6">
        <w:rPr>
          <w:rFonts w:ascii="Times New Roman" w:hAnsi="Times New Roman" w:cs="Times New Roman"/>
          <w:sz w:val="24"/>
          <w:szCs w:val="24"/>
        </w:rPr>
        <w:t xml:space="preserve"> тыс. рублей, в 201</w:t>
      </w:r>
      <w:r>
        <w:rPr>
          <w:rFonts w:ascii="Times New Roman" w:hAnsi="Times New Roman" w:cs="Times New Roman"/>
          <w:sz w:val="24"/>
          <w:szCs w:val="24"/>
        </w:rPr>
        <w:t>6</w:t>
      </w:r>
      <w:r w:rsidRPr="00C634E6">
        <w:rPr>
          <w:rFonts w:ascii="Times New Roman" w:hAnsi="Times New Roman" w:cs="Times New Roman"/>
          <w:sz w:val="24"/>
          <w:szCs w:val="24"/>
        </w:rPr>
        <w:t xml:space="preserve"> году – </w:t>
      </w:r>
      <w:r>
        <w:rPr>
          <w:rFonts w:ascii="Times New Roman" w:hAnsi="Times New Roman" w:cs="Times New Roman"/>
          <w:sz w:val="24"/>
          <w:szCs w:val="24"/>
        </w:rPr>
        <w:lastRenderedPageBreak/>
        <w:t>15737010,7</w:t>
      </w:r>
      <w:r w:rsidRPr="00C634E6">
        <w:rPr>
          <w:rFonts w:ascii="Times New Roman" w:hAnsi="Times New Roman" w:cs="Times New Roman"/>
          <w:sz w:val="24"/>
          <w:szCs w:val="24"/>
        </w:rPr>
        <w:t xml:space="preserve"> тыс. рублей, в 201</w:t>
      </w:r>
      <w:r>
        <w:rPr>
          <w:rFonts w:ascii="Times New Roman" w:hAnsi="Times New Roman" w:cs="Times New Roman"/>
          <w:sz w:val="24"/>
          <w:szCs w:val="24"/>
        </w:rPr>
        <w:t>7</w:t>
      </w:r>
      <w:r w:rsidRPr="00C634E6">
        <w:rPr>
          <w:rFonts w:ascii="Times New Roman" w:hAnsi="Times New Roman" w:cs="Times New Roman"/>
          <w:sz w:val="24"/>
          <w:szCs w:val="24"/>
        </w:rPr>
        <w:t xml:space="preserve"> году – </w:t>
      </w:r>
      <w:r>
        <w:rPr>
          <w:rFonts w:ascii="Times New Roman" w:hAnsi="Times New Roman" w:cs="Times New Roman"/>
          <w:sz w:val="24"/>
          <w:szCs w:val="24"/>
        </w:rPr>
        <w:t>9840000,0 тыс. рублей.</w:t>
      </w:r>
    </w:p>
    <w:p w:rsidR="009261EB" w:rsidRPr="007871EF" w:rsidRDefault="009261EB" w:rsidP="009261EB">
      <w:pPr>
        <w:pStyle w:val="rvps698610"/>
        <w:widowControl w:val="0"/>
        <w:spacing w:after="0"/>
        <w:ind w:right="0" w:firstLine="709"/>
        <w:jc w:val="both"/>
      </w:pPr>
      <w:r w:rsidRPr="007871EF">
        <w:t>Таким образом, Программой государственных внутренних заимствований Амурской области на 2015 год и плановый период 2016 и 2017 годов предусматривается рост привлечения кредитов кредитных организаций в 2015 и 2016 годах, что в свою очередь ведет к росту объема государственного долга и, соответственно, усиливает зависимость областного бюджета от привлеченных средств. Увеличение объемов заимствований и связанный с этим рост объема государственного долга существенно увеличивает нагрузку на областной бюджет, а предусмотренное программой резкое снижение объемов привлечения в 2017 году создает риски в обеспечении устойчивости и сбалансированности областного бюджета.</w:t>
      </w:r>
    </w:p>
    <w:p w:rsidR="009261EB" w:rsidRDefault="009261EB" w:rsidP="009261EB">
      <w:pPr>
        <w:spacing w:after="0" w:line="240" w:lineRule="auto"/>
        <w:ind w:firstLine="709"/>
        <w:jc w:val="both"/>
        <w:rPr>
          <w:rFonts w:ascii="Times New Roman" w:hAnsi="Times New Roman"/>
          <w:sz w:val="24"/>
          <w:szCs w:val="24"/>
        </w:rPr>
      </w:pPr>
      <w:r w:rsidRPr="00EA09F6">
        <w:rPr>
          <w:rFonts w:ascii="Times New Roman" w:hAnsi="Times New Roman"/>
          <w:sz w:val="24"/>
          <w:szCs w:val="24"/>
        </w:rPr>
        <w:t xml:space="preserve">Программой государственных внутренних заимствований Амурской области предусмотрено получение </w:t>
      </w:r>
      <w:r>
        <w:rPr>
          <w:rFonts w:ascii="Times New Roman" w:hAnsi="Times New Roman"/>
          <w:sz w:val="24"/>
          <w:szCs w:val="24"/>
        </w:rPr>
        <w:t>в</w:t>
      </w:r>
      <w:r w:rsidRPr="00EA09F6">
        <w:rPr>
          <w:rFonts w:ascii="Times New Roman" w:hAnsi="Times New Roman"/>
          <w:sz w:val="24"/>
          <w:szCs w:val="24"/>
        </w:rPr>
        <w:t xml:space="preserve"> 201</w:t>
      </w:r>
      <w:r>
        <w:rPr>
          <w:rFonts w:ascii="Times New Roman" w:hAnsi="Times New Roman"/>
          <w:sz w:val="24"/>
          <w:szCs w:val="24"/>
        </w:rPr>
        <w:t xml:space="preserve">5, 2016 и 2017 годах </w:t>
      </w:r>
      <w:r w:rsidRPr="00EA09F6">
        <w:rPr>
          <w:rFonts w:ascii="Times New Roman" w:hAnsi="Times New Roman"/>
          <w:sz w:val="24"/>
          <w:szCs w:val="24"/>
        </w:rPr>
        <w:t>за счет средств федерального бюджета бюджетных кредитов на пополнение остатка средств на счете областного бюджета</w:t>
      </w:r>
      <w:r>
        <w:rPr>
          <w:rFonts w:ascii="Times New Roman" w:hAnsi="Times New Roman"/>
          <w:sz w:val="24"/>
          <w:szCs w:val="24"/>
        </w:rPr>
        <w:t xml:space="preserve"> и их погашение в объемах 23180850,8 тыс. рублей, 24633740,5 тыс. рублей, 26445095,7 тыс. рублей соответственно. В </w:t>
      </w:r>
      <w:r w:rsidRPr="00EA09F6">
        <w:rPr>
          <w:rFonts w:ascii="Times New Roman" w:hAnsi="Times New Roman"/>
          <w:sz w:val="24"/>
          <w:szCs w:val="24"/>
        </w:rPr>
        <w:t>соот</w:t>
      </w:r>
      <w:r>
        <w:rPr>
          <w:rFonts w:ascii="Times New Roman" w:hAnsi="Times New Roman"/>
          <w:sz w:val="24"/>
          <w:szCs w:val="24"/>
        </w:rPr>
        <w:t>ветствии с положениями статьи 93</w:t>
      </w:r>
      <w:r w:rsidRPr="00EA09F6">
        <w:rPr>
          <w:rFonts w:ascii="Times New Roman" w:hAnsi="Times New Roman"/>
          <w:sz w:val="24"/>
          <w:szCs w:val="24"/>
        </w:rPr>
        <w:t>.</w:t>
      </w:r>
      <w:r>
        <w:rPr>
          <w:rFonts w:ascii="Times New Roman" w:hAnsi="Times New Roman"/>
          <w:sz w:val="24"/>
          <w:szCs w:val="24"/>
        </w:rPr>
        <w:t>6</w:t>
      </w:r>
      <w:r w:rsidRPr="00EA09F6">
        <w:rPr>
          <w:rFonts w:ascii="Times New Roman" w:hAnsi="Times New Roman"/>
          <w:sz w:val="24"/>
          <w:szCs w:val="24"/>
        </w:rPr>
        <w:t xml:space="preserve"> Бюджетного </w:t>
      </w:r>
      <w:r>
        <w:rPr>
          <w:rFonts w:ascii="Times New Roman" w:hAnsi="Times New Roman"/>
          <w:sz w:val="24"/>
          <w:szCs w:val="24"/>
        </w:rPr>
        <w:t>к</w:t>
      </w:r>
      <w:r w:rsidRPr="00EA09F6">
        <w:rPr>
          <w:rFonts w:ascii="Times New Roman" w:hAnsi="Times New Roman"/>
          <w:sz w:val="24"/>
          <w:szCs w:val="24"/>
        </w:rPr>
        <w:t xml:space="preserve">одекса Российской Федерации </w:t>
      </w:r>
      <w:r>
        <w:rPr>
          <w:rFonts w:ascii="Times New Roman" w:hAnsi="Times New Roman"/>
          <w:sz w:val="24"/>
          <w:szCs w:val="24"/>
        </w:rPr>
        <w:t>б</w:t>
      </w:r>
      <w:r w:rsidRPr="00EA09F6">
        <w:rPr>
          <w:rFonts w:ascii="Times New Roman" w:hAnsi="Times New Roman"/>
          <w:sz w:val="24"/>
          <w:szCs w:val="24"/>
        </w:rPr>
        <w:t xml:space="preserve">юджетный кредит на пополнение остатков средств на счетах бюджетов субъектов Российской Федерации предоставляется в размере, не превышающем одной двенадцатой утвержденного законом о бюджете на соответствующий финансовый год объема доходов бюджета субъекта </w:t>
      </w:r>
      <w:r w:rsidRPr="001F6C3E">
        <w:rPr>
          <w:rFonts w:ascii="Times New Roman" w:hAnsi="Times New Roman"/>
          <w:sz w:val="24"/>
          <w:szCs w:val="24"/>
        </w:rPr>
        <w:t>Российской Федерации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 Проектом федерального закона о федеральном бюджете на 201</w:t>
      </w:r>
      <w:r>
        <w:rPr>
          <w:rFonts w:ascii="Times New Roman" w:hAnsi="Times New Roman"/>
          <w:sz w:val="24"/>
          <w:szCs w:val="24"/>
        </w:rPr>
        <w:t>5</w:t>
      </w:r>
      <w:r w:rsidRPr="001F6C3E">
        <w:rPr>
          <w:rFonts w:ascii="Times New Roman" w:hAnsi="Times New Roman"/>
          <w:sz w:val="24"/>
          <w:szCs w:val="24"/>
        </w:rPr>
        <w:t xml:space="preserve"> </w:t>
      </w:r>
      <w:r>
        <w:rPr>
          <w:rFonts w:ascii="Times New Roman" w:hAnsi="Times New Roman"/>
          <w:sz w:val="24"/>
          <w:szCs w:val="24"/>
        </w:rPr>
        <w:t xml:space="preserve">год </w:t>
      </w:r>
      <w:r w:rsidRPr="001F6C3E">
        <w:rPr>
          <w:rFonts w:ascii="Times New Roman" w:hAnsi="Times New Roman"/>
          <w:sz w:val="24"/>
          <w:szCs w:val="24"/>
        </w:rPr>
        <w:t>и на плановый период 201</w:t>
      </w:r>
      <w:r>
        <w:rPr>
          <w:rFonts w:ascii="Times New Roman" w:hAnsi="Times New Roman"/>
          <w:sz w:val="24"/>
          <w:szCs w:val="24"/>
        </w:rPr>
        <w:t>6</w:t>
      </w:r>
      <w:r w:rsidRPr="001F6C3E">
        <w:rPr>
          <w:rFonts w:ascii="Times New Roman" w:hAnsi="Times New Roman"/>
          <w:sz w:val="24"/>
          <w:szCs w:val="24"/>
        </w:rPr>
        <w:t xml:space="preserve"> и 201</w:t>
      </w:r>
      <w:r>
        <w:rPr>
          <w:rFonts w:ascii="Times New Roman" w:hAnsi="Times New Roman"/>
          <w:sz w:val="24"/>
          <w:szCs w:val="24"/>
        </w:rPr>
        <w:t>7</w:t>
      </w:r>
      <w:r w:rsidRPr="001F6C3E">
        <w:rPr>
          <w:rFonts w:ascii="Times New Roman" w:hAnsi="Times New Roman"/>
          <w:sz w:val="24"/>
          <w:szCs w:val="24"/>
        </w:rPr>
        <w:t xml:space="preserve"> годов предусмотрена плата за пользование бюджетными кредитами на пополнение остатков средств на счетах бюджетов субъектов в размере </w:t>
      </w:r>
      <w:r w:rsidR="00236995">
        <w:rPr>
          <w:rFonts w:ascii="Times New Roman" w:hAnsi="Times New Roman"/>
          <w:sz w:val="24"/>
          <w:szCs w:val="24"/>
        </w:rPr>
        <w:br/>
        <w:t>0,1 процента годовых.</w:t>
      </w:r>
    </w:p>
    <w:p w:rsidR="009261EB" w:rsidRDefault="009261EB" w:rsidP="009261EB">
      <w:pPr>
        <w:spacing w:after="0" w:line="240" w:lineRule="auto"/>
        <w:ind w:firstLine="709"/>
        <w:jc w:val="both"/>
        <w:rPr>
          <w:rFonts w:ascii="Times New Roman" w:hAnsi="Times New Roman"/>
          <w:sz w:val="24"/>
          <w:szCs w:val="24"/>
        </w:rPr>
      </w:pPr>
      <w:r w:rsidRPr="00C634E6">
        <w:rPr>
          <w:rFonts w:ascii="Times New Roman" w:hAnsi="Times New Roman"/>
          <w:sz w:val="24"/>
          <w:szCs w:val="24"/>
        </w:rPr>
        <w:t xml:space="preserve">На погашение задолженности по бюджетным кредитам, предоставленным </w:t>
      </w:r>
      <w:r>
        <w:rPr>
          <w:rFonts w:ascii="Times New Roman" w:hAnsi="Times New Roman"/>
          <w:sz w:val="24"/>
          <w:szCs w:val="24"/>
        </w:rPr>
        <w:t>из</w:t>
      </w:r>
      <w:r w:rsidRPr="00C634E6">
        <w:rPr>
          <w:rFonts w:ascii="Times New Roman" w:hAnsi="Times New Roman"/>
          <w:sz w:val="24"/>
          <w:szCs w:val="24"/>
        </w:rPr>
        <w:t xml:space="preserve"> федерального бюджета</w:t>
      </w:r>
      <w:r>
        <w:rPr>
          <w:rFonts w:ascii="Times New Roman" w:hAnsi="Times New Roman"/>
          <w:sz w:val="24"/>
          <w:szCs w:val="24"/>
        </w:rPr>
        <w:t xml:space="preserve"> для частичного покрытия дефицита бюджета, а также на строительство, реконструкцию и капитальный ремонт автомобильных дорог</w:t>
      </w:r>
      <w:r w:rsidRPr="00C634E6">
        <w:rPr>
          <w:rFonts w:ascii="Times New Roman" w:hAnsi="Times New Roman"/>
          <w:sz w:val="24"/>
          <w:szCs w:val="24"/>
        </w:rPr>
        <w:t>, предусмотрено направить в 201</w:t>
      </w:r>
      <w:r>
        <w:rPr>
          <w:rFonts w:ascii="Times New Roman" w:hAnsi="Times New Roman"/>
          <w:sz w:val="24"/>
          <w:szCs w:val="24"/>
        </w:rPr>
        <w:t>5</w:t>
      </w:r>
      <w:r w:rsidRPr="00C634E6">
        <w:rPr>
          <w:rFonts w:ascii="Times New Roman" w:hAnsi="Times New Roman"/>
          <w:sz w:val="24"/>
          <w:szCs w:val="24"/>
        </w:rPr>
        <w:t xml:space="preserve"> году – </w:t>
      </w:r>
      <w:r>
        <w:rPr>
          <w:rFonts w:ascii="Times New Roman" w:hAnsi="Times New Roman"/>
          <w:sz w:val="24"/>
          <w:szCs w:val="24"/>
        </w:rPr>
        <w:t>2343614</w:t>
      </w:r>
      <w:r w:rsidRPr="00C634E6">
        <w:rPr>
          <w:rFonts w:ascii="Times New Roman" w:hAnsi="Times New Roman"/>
          <w:sz w:val="24"/>
          <w:szCs w:val="24"/>
        </w:rPr>
        <w:t>,</w:t>
      </w:r>
      <w:r>
        <w:rPr>
          <w:rFonts w:ascii="Times New Roman" w:hAnsi="Times New Roman"/>
          <w:sz w:val="24"/>
          <w:szCs w:val="24"/>
        </w:rPr>
        <w:t>9</w:t>
      </w:r>
      <w:r w:rsidRPr="00C634E6">
        <w:rPr>
          <w:rFonts w:ascii="Times New Roman" w:hAnsi="Times New Roman"/>
          <w:sz w:val="24"/>
          <w:szCs w:val="24"/>
        </w:rPr>
        <w:t xml:space="preserve"> тыс. рублей, в 201</w:t>
      </w:r>
      <w:r>
        <w:rPr>
          <w:rFonts w:ascii="Times New Roman" w:hAnsi="Times New Roman"/>
          <w:sz w:val="24"/>
          <w:szCs w:val="24"/>
        </w:rPr>
        <w:t>6</w:t>
      </w:r>
      <w:r w:rsidRPr="00C634E6">
        <w:rPr>
          <w:rFonts w:ascii="Times New Roman" w:hAnsi="Times New Roman"/>
          <w:sz w:val="24"/>
          <w:szCs w:val="24"/>
        </w:rPr>
        <w:t xml:space="preserve"> году – </w:t>
      </w:r>
      <w:r>
        <w:rPr>
          <w:rFonts w:ascii="Times New Roman" w:hAnsi="Times New Roman"/>
          <w:sz w:val="24"/>
          <w:szCs w:val="24"/>
        </w:rPr>
        <w:t>1479595,2</w:t>
      </w:r>
      <w:r w:rsidRPr="00C634E6">
        <w:rPr>
          <w:rFonts w:ascii="Times New Roman" w:hAnsi="Times New Roman"/>
          <w:sz w:val="24"/>
          <w:szCs w:val="24"/>
        </w:rPr>
        <w:t xml:space="preserve"> тыс. рублей, </w:t>
      </w:r>
      <w:r>
        <w:rPr>
          <w:rFonts w:ascii="Times New Roman" w:hAnsi="Times New Roman"/>
          <w:sz w:val="24"/>
          <w:szCs w:val="24"/>
        </w:rPr>
        <w:br/>
      </w:r>
      <w:r w:rsidRPr="00C634E6">
        <w:rPr>
          <w:rFonts w:ascii="Times New Roman" w:hAnsi="Times New Roman"/>
          <w:sz w:val="24"/>
          <w:szCs w:val="24"/>
        </w:rPr>
        <w:t>в 201</w:t>
      </w:r>
      <w:r>
        <w:rPr>
          <w:rFonts w:ascii="Times New Roman" w:hAnsi="Times New Roman"/>
          <w:sz w:val="24"/>
          <w:szCs w:val="24"/>
        </w:rPr>
        <w:t>7 году – 360000,0</w:t>
      </w:r>
      <w:r w:rsidRPr="00C634E6">
        <w:rPr>
          <w:rFonts w:ascii="Times New Roman" w:hAnsi="Times New Roman"/>
          <w:sz w:val="24"/>
          <w:szCs w:val="24"/>
        </w:rPr>
        <w:t xml:space="preserve"> тыс. рублей. Объем погашения бюджетных кредитов, полученных из федерального бюджета, запланирован в соответствии с соглашениями, заключенными с Министерством </w:t>
      </w:r>
      <w:r>
        <w:rPr>
          <w:rFonts w:ascii="Times New Roman" w:hAnsi="Times New Roman"/>
          <w:sz w:val="24"/>
          <w:szCs w:val="24"/>
        </w:rPr>
        <w:t>финансов Российской Федерации.</w:t>
      </w:r>
    </w:p>
    <w:p w:rsidR="009261EB" w:rsidRDefault="009261EB" w:rsidP="009261EB">
      <w:pPr>
        <w:autoSpaceDE w:val="0"/>
        <w:autoSpaceDN w:val="0"/>
        <w:adjustRightInd w:val="0"/>
        <w:spacing w:after="0" w:line="240" w:lineRule="auto"/>
        <w:ind w:firstLine="709"/>
        <w:jc w:val="both"/>
        <w:outlineLvl w:val="3"/>
        <w:rPr>
          <w:rFonts w:ascii="Times New Roman" w:hAnsi="Times New Roman"/>
          <w:sz w:val="24"/>
          <w:szCs w:val="24"/>
        </w:rPr>
      </w:pPr>
      <w:r w:rsidRPr="00C634E6">
        <w:rPr>
          <w:rFonts w:ascii="Times New Roman" w:hAnsi="Times New Roman"/>
          <w:sz w:val="24"/>
          <w:szCs w:val="24"/>
        </w:rPr>
        <w:t>В соответствии с требованиями статьи 111 Бюджетного кодекса Российской Федерации законом о бюджете устанавливается объем расходов на обслуживание государственного долга субъекта Российской Федерации. Значительные государственные внутренние заимствования, предусмотренные в 201</w:t>
      </w:r>
      <w:r>
        <w:rPr>
          <w:rFonts w:ascii="Times New Roman" w:hAnsi="Times New Roman"/>
          <w:sz w:val="24"/>
          <w:szCs w:val="24"/>
        </w:rPr>
        <w:t>5</w:t>
      </w:r>
      <w:r w:rsidR="00236995">
        <w:rPr>
          <w:rFonts w:ascii="Times New Roman" w:hAnsi="Times New Roman"/>
          <w:sz w:val="24"/>
          <w:szCs w:val="24"/>
        </w:rPr>
        <w:t xml:space="preserve"> </w:t>
      </w:r>
      <w:r w:rsidRPr="00C634E6">
        <w:rPr>
          <w:rFonts w:ascii="Times New Roman" w:hAnsi="Times New Roman"/>
          <w:sz w:val="24"/>
          <w:szCs w:val="24"/>
        </w:rPr>
        <w:t xml:space="preserve">и </w:t>
      </w:r>
      <w:r>
        <w:rPr>
          <w:rFonts w:ascii="Times New Roman" w:hAnsi="Times New Roman"/>
          <w:sz w:val="24"/>
          <w:szCs w:val="24"/>
        </w:rPr>
        <w:t>2</w:t>
      </w:r>
      <w:r w:rsidRPr="00C634E6">
        <w:rPr>
          <w:rFonts w:ascii="Times New Roman" w:hAnsi="Times New Roman"/>
          <w:sz w:val="24"/>
          <w:szCs w:val="24"/>
        </w:rPr>
        <w:t>01</w:t>
      </w:r>
      <w:r>
        <w:rPr>
          <w:rFonts w:ascii="Times New Roman" w:hAnsi="Times New Roman"/>
          <w:sz w:val="24"/>
          <w:szCs w:val="24"/>
        </w:rPr>
        <w:t>6</w:t>
      </w:r>
      <w:r w:rsidRPr="00C634E6">
        <w:rPr>
          <w:rFonts w:ascii="Times New Roman" w:hAnsi="Times New Roman"/>
          <w:sz w:val="24"/>
          <w:szCs w:val="24"/>
        </w:rPr>
        <w:t xml:space="preserve"> год</w:t>
      </w:r>
      <w:r w:rsidR="00236995">
        <w:rPr>
          <w:rFonts w:ascii="Times New Roman" w:hAnsi="Times New Roman"/>
          <w:sz w:val="24"/>
          <w:szCs w:val="24"/>
        </w:rPr>
        <w:t>ах</w:t>
      </w:r>
      <w:r w:rsidRPr="00C634E6">
        <w:rPr>
          <w:rFonts w:ascii="Times New Roman" w:hAnsi="Times New Roman"/>
          <w:sz w:val="24"/>
          <w:szCs w:val="24"/>
        </w:rPr>
        <w:t xml:space="preserve">, </w:t>
      </w:r>
      <w:r>
        <w:rPr>
          <w:rFonts w:ascii="Times New Roman" w:hAnsi="Times New Roman"/>
          <w:sz w:val="24"/>
          <w:szCs w:val="24"/>
        </w:rPr>
        <w:t>обусловили</w:t>
      </w:r>
      <w:r w:rsidRPr="00C634E6">
        <w:rPr>
          <w:rFonts w:ascii="Times New Roman" w:hAnsi="Times New Roman"/>
          <w:sz w:val="24"/>
          <w:szCs w:val="24"/>
        </w:rPr>
        <w:t xml:space="preserve"> рост государственного долга и объема расходов на его обслуживание. В представленном к рассмотрению проекте закона Амурской области «Об областном бюджете на 201</w:t>
      </w:r>
      <w:r>
        <w:rPr>
          <w:rFonts w:ascii="Times New Roman" w:hAnsi="Times New Roman"/>
          <w:sz w:val="24"/>
          <w:szCs w:val="24"/>
        </w:rPr>
        <w:t>5</w:t>
      </w:r>
      <w:r w:rsidRPr="00C634E6">
        <w:rPr>
          <w:rFonts w:ascii="Times New Roman" w:hAnsi="Times New Roman"/>
          <w:sz w:val="24"/>
          <w:szCs w:val="24"/>
        </w:rPr>
        <w:t xml:space="preserve"> год и плановый период 201</w:t>
      </w:r>
      <w:r>
        <w:rPr>
          <w:rFonts w:ascii="Times New Roman" w:hAnsi="Times New Roman"/>
          <w:sz w:val="24"/>
          <w:szCs w:val="24"/>
        </w:rPr>
        <w:t>6</w:t>
      </w:r>
      <w:r w:rsidRPr="00C634E6">
        <w:rPr>
          <w:rFonts w:ascii="Times New Roman" w:hAnsi="Times New Roman"/>
          <w:sz w:val="24"/>
          <w:szCs w:val="24"/>
        </w:rPr>
        <w:t xml:space="preserve"> и 201</w:t>
      </w:r>
      <w:r>
        <w:rPr>
          <w:rFonts w:ascii="Times New Roman" w:hAnsi="Times New Roman"/>
          <w:sz w:val="24"/>
          <w:szCs w:val="24"/>
        </w:rPr>
        <w:t>7</w:t>
      </w:r>
      <w:r w:rsidRPr="00C634E6">
        <w:rPr>
          <w:rFonts w:ascii="Times New Roman" w:hAnsi="Times New Roman"/>
          <w:sz w:val="24"/>
          <w:szCs w:val="24"/>
        </w:rPr>
        <w:t xml:space="preserve"> годов» данный показатель отражен по тексту </w:t>
      </w:r>
      <w:r>
        <w:rPr>
          <w:rFonts w:ascii="Times New Roman" w:hAnsi="Times New Roman"/>
          <w:sz w:val="24"/>
          <w:szCs w:val="24"/>
        </w:rPr>
        <w:br/>
      </w:r>
      <w:r w:rsidRPr="00C634E6">
        <w:rPr>
          <w:rFonts w:ascii="Times New Roman" w:hAnsi="Times New Roman"/>
          <w:sz w:val="24"/>
          <w:szCs w:val="24"/>
        </w:rPr>
        <w:t>статьи 1</w:t>
      </w:r>
      <w:r>
        <w:rPr>
          <w:rFonts w:ascii="Times New Roman" w:hAnsi="Times New Roman"/>
          <w:sz w:val="24"/>
          <w:szCs w:val="24"/>
        </w:rPr>
        <w:t>7</w:t>
      </w:r>
      <w:r w:rsidRPr="00C634E6">
        <w:rPr>
          <w:rFonts w:ascii="Times New Roman" w:hAnsi="Times New Roman"/>
          <w:sz w:val="24"/>
          <w:szCs w:val="24"/>
        </w:rPr>
        <w:t xml:space="preserve"> законопроекта и </w:t>
      </w:r>
      <w:r>
        <w:rPr>
          <w:rFonts w:ascii="Times New Roman" w:hAnsi="Times New Roman"/>
          <w:sz w:val="24"/>
          <w:szCs w:val="24"/>
        </w:rPr>
        <w:t>в приложениях № 8 и № 9 к законопроекту</w:t>
      </w:r>
      <w:r w:rsidRPr="00C634E6">
        <w:rPr>
          <w:rFonts w:ascii="Times New Roman" w:hAnsi="Times New Roman"/>
          <w:sz w:val="24"/>
          <w:szCs w:val="24"/>
        </w:rPr>
        <w:t xml:space="preserve">. Расходы на обслуживание государственного долга, представляющие собой выплату процентных платежей по </w:t>
      </w:r>
      <w:r>
        <w:rPr>
          <w:rFonts w:ascii="Times New Roman" w:hAnsi="Times New Roman"/>
          <w:sz w:val="24"/>
          <w:szCs w:val="24"/>
        </w:rPr>
        <w:t>привлеченным кредитам</w:t>
      </w:r>
      <w:r w:rsidRPr="00C634E6">
        <w:rPr>
          <w:rFonts w:ascii="Times New Roman" w:hAnsi="Times New Roman"/>
          <w:sz w:val="24"/>
          <w:szCs w:val="24"/>
        </w:rPr>
        <w:t>, предусмотрены на 201</w:t>
      </w:r>
      <w:r>
        <w:rPr>
          <w:rFonts w:ascii="Times New Roman" w:hAnsi="Times New Roman"/>
          <w:sz w:val="24"/>
          <w:szCs w:val="24"/>
        </w:rPr>
        <w:t>5</w:t>
      </w:r>
      <w:r w:rsidRPr="00C634E6">
        <w:rPr>
          <w:rFonts w:ascii="Times New Roman" w:hAnsi="Times New Roman"/>
          <w:sz w:val="24"/>
          <w:szCs w:val="24"/>
        </w:rPr>
        <w:t xml:space="preserve"> год </w:t>
      </w:r>
      <w:r>
        <w:rPr>
          <w:rFonts w:ascii="Times New Roman" w:hAnsi="Times New Roman"/>
          <w:sz w:val="24"/>
          <w:szCs w:val="24"/>
        </w:rPr>
        <w:t>в объеме</w:t>
      </w:r>
      <w:r w:rsidRPr="00C634E6">
        <w:rPr>
          <w:rFonts w:ascii="Times New Roman" w:hAnsi="Times New Roman"/>
          <w:sz w:val="24"/>
          <w:szCs w:val="24"/>
        </w:rPr>
        <w:t xml:space="preserve"> </w:t>
      </w:r>
      <w:r>
        <w:rPr>
          <w:rFonts w:ascii="Times New Roman" w:hAnsi="Times New Roman"/>
          <w:sz w:val="24"/>
          <w:szCs w:val="24"/>
        </w:rPr>
        <w:br/>
        <w:t>2113884,8</w:t>
      </w:r>
      <w:r w:rsidRPr="00C634E6">
        <w:rPr>
          <w:rFonts w:ascii="Times New Roman" w:hAnsi="Times New Roman"/>
          <w:sz w:val="24"/>
          <w:szCs w:val="24"/>
        </w:rPr>
        <w:t xml:space="preserve"> тыс. рублей, что в </w:t>
      </w:r>
      <w:r>
        <w:rPr>
          <w:rFonts w:ascii="Times New Roman" w:hAnsi="Times New Roman"/>
          <w:sz w:val="24"/>
          <w:szCs w:val="24"/>
        </w:rPr>
        <w:t>1,34</w:t>
      </w:r>
      <w:r w:rsidRPr="00C634E6">
        <w:rPr>
          <w:rFonts w:ascii="Times New Roman" w:hAnsi="Times New Roman"/>
          <w:sz w:val="24"/>
          <w:szCs w:val="24"/>
        </w:rPr>
        <w:t xml:space="preserve"> раза больше по сравнению с планируемыми расходами на обслуживание долга в 201</w:t>
      </w:r>
      <w:r>
        <w:rPr>
          <w:rFonts w:ascii="Times New Roman" w:hAnsi="Times New Roman"/>
          <w:sz w:val="24"/>
          <w:szCs w:val="24"/>
        </w:rPr>
        <w:t>4</w:t>
      </w:r>
      <w:r w:rsidRPr="00C634E6">
        <w:rPr>
          <w:rFonts w:ascii="Times New Roman" w:hAnsi="Times New Roman"/>
          <w:sz w:val="24"/>
          <w:szCs w:val="24"/>
        </w:rPr>
        <w:t xml:space="preserve"> году (</w:t>
      </w:r>
      <w:r>
        <w:rPr>
          <w:rFonts w:ascii="Times New Roman" w:hAnsi="Times New Roman"/>
          <w:sz w:val="24"/>
          <w:szCs w:val="24"/>
        </w:rPr>
        <w:t>1567564,4</w:t>
      </w:r>
      <w:r w:rsidRPr="00C634E6">
        <w:rPr>
          <w:rFonts w:ascii="Times New Roman" w:hAnsi="Times New Roman"/>
          <w:sz w:val="24"/>
          <w:szCs w:val="24"/>
        </w:rPr>
        <w:t xml:space="preserve"> тыс. рублей). Расходы на обслуживание государственного долга на 201</w:t>
      </w:r>
      <w:r>
        <w:rPr>
          <w:rFonts w:ascii="Times New Roman" w:hAnsi="Times New Roman"/>
          <w:sz w:val="24"/>
          <w:szCs w:val="24"/>
        </w:rPr>
        <w:t>6</w:t>
      </w:r>
      <w:r w:rsidRPr="00C634E6">
        <w:rPr>
          <w:rFonts w:ascii="Times New Roman" w:hAnsi="Times New Roman"/>
          <w:sz w:val="24"/>
          <w:szCs w:val="24"/>
        </w:rPr>
        <w:t xml:space="preserve"> год прогнозируются в объеме </w:t>
      </w:r>
      <w:r>
        <w:rPr>
          <w:rFonts w:ascii="Times New Roman" w:hAnsi="Times New Roman"/>
          <w:sz w:val="24"/>
          <w:szCs w:val="24"/>
        </w:rPr>
        <w:t>3081731,2</w:t>
      </w:r>
      <w:r w:rsidRPr="00C634E6">
        <w:rPr>
          <w:rFonts w:ascii="Times New Roman" w:hAnsi="Times New Roman"/>
          <w:sz w:val="24"/>
          <w:szCs w:val="24"/>
        </w:rPr>
        <w:t xml:space="preserve"> тыс. рублей, </w:t>
      </w:r>
      <w:r>
        <w:rPr>
          <w:rFonts w:ascii="Times New Roman" w:hAnsi="Times New Roman"/>
          <w:sz w:val="24"/>
          <w:szCs w:val="24"/>
        </w:rPr>
        <w:br/>
      </w:r>
      <w:r w:rsidRPr="00C634E6">
        <w:rPr>
          <w:rFonts w:ascii="Times New Roman" w:hAnsi="Times New Roman"/>
          <w:sz w:val="24"/>
          <w:szCs w:val="24"/>
        </w:rPr>
        <w:t>на 201</w:t>
      </w:r>
      <w:r>
        <w:rPr>
          <w:rFonts w:ascii="Times New Roman" w:hAnsi="Times New Roman"/>
          <w:sz w:val="24"/>
          <w:szCs w:val="24"/>
        </w:rPr>
        <w:t>7</w:t>
      </w:r>
      <w:r w:rsidRPr="00C634E6">
        <w:rPr>
          <w:rFonts w:ascii="Times New Roman" w:hAnsi="Times New Roman"/>
          <w:sz w:val="24"/>
          <w:szCs w:val="24"/>
        </w:rPr>
        <w:t xml:space="preserve"> год в объеме </w:t>
      </w:r>
      <w:r>
        <w:rPr>
          <w:rFonts w:ascii="Times New Roman" w:hAnsi="Times New Roman"/>
          <w:sz w:val="24"/>
          <w:szCs w:val="24"/>
        </w:rPr>
        <w:t>3112920,2</w:t>
      </w:r>
      <w:r w:rsidRPr="00C634E6">
        <w:rPr>
          <w:rFonts w:ascii="Times New Roman" w:hAnsi="Times New Roman"/>
          <w:sz w:val="24"/>
          <w:szCs w:val="24"/>
        </w:rPr>
        <w:t xml:space="preserve"> тыс. рублей.</w:t>
      </w:r>
    </w:p>
    <w:p w:rsidR="009261EB" w:rsidRPr="007871EF" w:rsidRDefault="009261EB" w:rsidP="009261EB">
      <w:pPr>
        <w:spacing w:after="0" w:line="240" w:lineRule="auto"/>
        <w:ind w:firstLine="709"/>
        <w:jc w:val="both"/>
        <w:rPr>
          <w:rFonts w:ascii="Times New Roman" w:hAnsi="Times New Roman"/>
          <w:sz w:val="24"/>
          <w:szCs w:val="24"/>
        </w:rPr>
      </w:pPr>
      <w:r w:rsidRPr="00236995">
        <w:rPr>
          <w:rFonts w:ascii="Times New Roman" w:hAnsi="Times New Roman"/>
          <w:sz w:val="24"/>
          <w:szCs w:val="24"/>
        </w:rPr>
        <w:t>Анализом представленных министерством финансов расчетов по расходам на обслуживание государственного долга установлено, что расчет платы за пользование</w:t>
      </w:r>
      <w:r w:rsidRPr="00236995">
        <w:rPr>
          <w:rFonts w:ascii="Times New Roman" w:hAnsi="Times New Roman"/>
          <w:i/>
          <w:sz w:val="24"/>
          <w:szCs w:val="24"/>
        </w:rPr>
        <w:t xml:space="preserve"> </w:t>
      </w:r>
      <w:r w:rsidRPr="00236995">
        <w:rPr>
          <w:rFonts w:ascii="Times New Roman" w:hAnsi="Times New Roman"/>
          <w:sz w:val="24"/>
          <w:szCs w:val="24"/>
        </w:rPr>
        <w:t>кредитами кредитных организаций, привлекаемыми в период 2015-2017 годов, произведен исходя из размера ставки – от 13,75 процента в 2015 году до 17,86 процента в 2017 году, при ставке по кредитам, привлеченным в 2014 году – от 8,1 до 8,28 процента</w:t>
      </w:r>
      <w:r w:rsidR="00236995" w:rsidRPr="00236995">
        <w:rPr>
          <w:rFonts w:ascii="Times New Roman" w:hAnsi="Times New Roman"/>
          <w:sz w:val="24"/>
          <w:szCs w:val="24"/>
        </w:rPr>
        <w:t xml:space="preserve"> годовых.</w:t>
      </w:r>
    </w:p>
    <w:p w:rsidR="009261EB" w:rsidRDefault="009261EB" w:rsidP="009261EB">
      <w:pPr>
        <w:autoSpaceDE w:val="0"/>
        <w:autoSpaceDN w:val="0"/>
        <w:adjustRightInd w:val="0"/>
        <w:spacing w:after="0" w:line="240" w:lineRule="auto"/>
        <w:ind w:firstLine="709"/>
        <w:jc w:val="both"/>
        <w:outlineLvl w:val="3"/>
        <w:rPr>
          <w:rFonts w:ascii="Times New Roman" w:hAnsi="Times New Roman"/>
          <w:sz w:val="24"/>
          <w:szCs w:val="24"/>
        </w:rPr>
      </w:pPr>
      <w:r w:rsidRPr="00C634E6">
        <w:rPr>
          <w:rFonts w:ascii="Times New Roman" w:hAnsi="Times New Roman"/>
          <w:sz w:val="24"/>
          <w:szCs w:val="24"/>
        </w:rPr>
        <w:t>Объем расходов на обслуживание государственного долга составляет в 201</w:t>
      </w:r>
      <w:r>
        <w:rPr>
          <w:rFonts w:ascii="Times New Roman" w:hAnsi="Times New Roman"/>
          <w:sz w:val="24"/>
          <w:szCs w:val="24"/>
        </w:rPr>
        <w:t>5</w:t>
      </w:r>
      <w:r w:rsidRPr="00C634E6">
        <w:rPr>
          <w:rFonts w:ascii="Times New Roman" w:hAnsi="Times New Roman"/>
          <w:sz w:val="24"/>
          <w:szCs w:val="24"/>
        </w:rPr>
        <w:t xml:space="preserve"> году - </w:t>
      </w:r>
      <w:r w:rsidRPr="00C634E6">
        <w:rPr>
          <w:rFonts w:ascii="Times New Roman" w:hAnsi="Times New Roman"/>
          <w:sz w:val="24"/>
          <w:szCs w:val="24"/>
        </w:rPr>
        <w:br/>
      </w:r>
      <w:r>
        <w:rPr>
          <w:rFonts w:ascii="Times New Roman" w:hAnsi="Times New Roman"/>
          <w:sz w:val="24"/>
          <w:szCs w:val="24"/>
        </w:rPr>
        <w:t>5</w:t>
      </w:r>
      <w:r w:rsidRPr="00C634E6">
        <w:rPr>
          <w:rFonts w:ascii="Times New Roman" w:hAnsi="Times New Roman"/>
          <w:sz w:val="24"/>
          <w:szCs w:val="24"/>
        </w:rPr>
        <w:t>,</w:t>
      </w:r>
      <w:r>
        <w:rPr>
          <w:rFonts w:ascii="Times New Roman" w:hAnsi="Times New Roman"/>
          <w:sz w:val="24"/>
          <w:szCs w:val="24"/>
        </w:rPr>
        <w:t>9 процента, в 2016</w:t>
      </w:r>
      <w:r w:rsidRPr="00C634E6">
        <w:rPr>
          <w:rFonts w:ascii="Times New Roman" w:hAnsi="Times New Roman"/>
          <w:sz w:val="24"/>
          <w:szCs w:val="24"/>
        </w:rPr>
        <w:t xml:space="preserve"> году –</w:t>
      </w:r>
      <w:r>
        <w:rPr>
          <w:rFonts w:ascii="Times New Roman" w:hAnsi="Times New Roman"/>
          <w:sz w:val="24"/>
          <w:szCs w:val="24"/>
        </w:rPr>
        <w:t>8</w:t>
      </w:r>
      <w:r w:rsidRPr="00C634E6">
        <w:rPr>
          <w:rFonts w:ascii="Times New Roman" w:hAnsi="Times New Roman"/>
          <w:sz w:val="24"/>
          <w:szCs w:val="24"/>
        </w:rPr>
        <w:t>,</w:t>
      </w:r>
      <w:r>
        <w:rPr>
          <w:rFonts w:ascii="Times New Roman" w:hAnsi="Times New Roman"/>
          <w:sz w:val="24"/>
          <w:szCs w:val="24"/>
        </w:rPr>
        <w:t>8</w:t>
      </w:r>
      <w:r w:rsidRPr="00C634E6">
        <w:rPr>
          <w:rFonts w:ascii="Times New Roman" w:hAnsi="Times New Roman"/>
          <w:sz w:val="24"/>
          <w:szCs w:val="24"/>
        </w:rPr>
        <w:t xml:space="preserve"> процента, в 201</w:t>
      </w:r>
      <w:r>
        <w:rPr>
          <w:rFonts w:ascii="Times New Roman" w:hAnsi="Times New Roman"/>
          <w:sz w:val="24"/>
          <w:szCs w:val="24"/>
        </w:rPr>
        <w:t>7</w:t>
      </w:r>
      <w:r w:rsidRPr="00C634E6">
        <w:rPr>
          <w:rFonts w:ascii="Times New Roman" w:hAnsi="Times New Roman"/>
          <w:sz w:val="24"/>
          <w:szCs w:val="24"/>
        </w:rPr>
        <w:t xml:space="preserve"> году – </w:t>
      </w:r>
      <w:r>
        <w:rPr>
          <w:rFonts w:ascii="Times New Roman" w:hAnsi="Times New Roman"/>
          <w:sz w:val="24"/>
          <w:szCs w:val="24"/>
        </w:rPr>
        <w:t>10</w:t>
      </w:r>
      <w:r w:rsidRPr="00C634E6">
        <w:rPr>
          <w:rFonts w:ascii="Times New Roman" w:hAnsi="Times New Roman"/>
          <w:sz w:val="24"/>
          <w:szCs w:val="24"/>
        </w:rPr>
        <w:t>,</w:t>
      </w:r>
      <w:r>
        <w:rPr>
          <w:rFonts w:ascii="Times New Roman" w:hAnsi="Times New Roman"/>
          <w:sz w:val="24"/>
          <w:szCs w:val="24"/>
        </w:rPr>
        <w:t>7</w:t>
      </w:r>
      <w:r w:rsidRPr="00C634E6">
        <w:rPr>
          <w:rFonts w:ascii="Times New Roman" w:hAnsi="Times New Roman"/>
          <w:sz w:val="24"/>
          <w:szCs w:val="24"/>
        </w:rPr>
        <w:t xml:space="preserve"> процента общего объема </w:t>
      </w:r>
      <w:r>
        <w:rPr>
          <w:rFonts w:ascii="Times New Roman" w:hAnsi="Times New Roman"/>
          <w:sz w:val="24"/>
          <w:szCs w:val="24"/>
        </w:rPr>
        <w:t>расхо</w:t>
      </w:r>
      <w:r w:rsidRPr="00C634E6">
        <w:rPr>
          <w:rFonts w:ascii="Times New Roman" w:hAnsi="Times New Roman"/>
          <w:sz w:val="24"/>
          <w:szCs w:val="24"/>
        </w:rPr>
        <w:t xml:space="preserve">дов областного бюджета без учета </w:t>
      </w:r>
      <w:r>
        <w:rPr>
          <w:rFonts w:ascii="Times New Roman" w:hAnsi="Times New Roman"/>
          <w:sz w:val="24"/>
          <w:szCs w:val="24"/>
        </w:rPr>
        <w:t xml:space="preserve">расходов, осуществляемых за счет субвенций, </w:t>
      </w:r>
      <w:r w:rsidRPr="00C634E6">
        <w:rPr>
          <w:rFonts w:ascii="Times New Roman" w:hAnsi="Times New Roman"/>
          <w:sz w:val="24"/>
          <w:szCs w:val="24"/>
        </w:rPr>
        <w:t xml:space="preserve">и не превышает </w:t>
      </w:r>
      <w:r w:rsidRPr="00C634E6">
        <w:rPr>
          <w:rFonts w:ascii="Times New Roman" w:hAnsi="Times New Roman"/>
          <w:sz w:val="24"/>
          <w:szCs w:val="24"/>
        </w:rPr>
        <w:lastRenderedPageBreak/>
        <w:t xml:space="preserve">предела, установленного статьей 111 Бюджетного кодекса Российской Федерации </w:t>
      </w:r>
      <w:r>
        <w:rPr>
          <w:rFonts w:ascii="Times New Roman" w:hAnsi="Times New Roman"/>
          <w:sz w:val="24"/>
          <w:szCs w:val="24"/>
        </w:rPr>
        <w:br/>
      </w:r>
      <w:r w:rsidRPr="00C634E6">
        <w:rPr>
          <w:rFonts w:ascii="Times New Roman" w:hAnsi="Times New Roman"/>
          <w:sz w:val="24"/>
          <w:szCs w:val="24"/>
        </w:rPr>
        <w:t>(15 процентов объема расходов соответствующего бюджета, за исключением объема расходов, которые осу</w:t>
      </w:r>
      <w:r>
        <w:rPr>
          <w:rFonts w:ascii="Times New Roman" w:hAnsi="Times New Roman"/>
          <w:sz w:val="24"/>
          <w:szCs w:val="24"/>
        </w:rPr>
        <w:t>ществляются за счет субвенций).</w:t>
      </w:r>
    </w:p>
    <w:p w:rsidR="009261EB" w:rsidRPr="00D83F17" w:rsidRDefault="009261EB" w:rsidP="009261EB">
      <w:pPr>
        <w:autoSpaceDE w:val="0"/>
        <w:autoSpaceDN w:val="0"/>
        <w:adjustRightInd w:val="0"/>
        <w:spacing w:after="0" w:line="240" w:lineRule="auto"/>
        <w:ind w:firstLine="709"/>
        <w:jc w:val="both"/>
        <w:outlineLvl w:val="3"/>
        <w:rPr>
          <w:rFonts w:ascii="Times New Roman" w:hAnsi="Times New Roman"/>
          <w:sz w:val="24"/>
          <w:szCs w:val="24"/>
        </w:rPr>
      </w:pPr>
      <w:r w:rsidRPr="00D83F17">
        <w:rPr>
          <w:rFonts w:ascii="Times New Roman" w:hAnsi="Times New Roman"/>
          <w:sz w:val="24"/>
          <w:szCs w:val="24"/>
        </w:rPr>
        <w:t>По результатам проведенного анализа показателей государственного долга Амурской области контрольно-счетная палата области отмечает прогнозируемый рост расходов, связанных с погашением и обслуживанием государственного долга в 2015 и 2016 годах по сравнению с плановым объемом 2014 года в 1,6 и 1,4 раза соответственно. Объем расходов на погашение и обслуживание государственного долга в процентах к общему объему заимствований (коэффициент покрытия) составит в 2015 году – 102,4 процента, в 2016 году – 116,1 процента, в 2017 году – 484,9 процента, при планируемом коэффициенте покрытия в 201</w:t>
      </w:r>
      <w:r w:rsidR="000D429A">
        <w:rPr>
          <w:rFonts w:ascii="Times New Roman" w:hAnsi="Times New Roman"/>
          <w:sz w:val="24"/>
          <w:szCs w:val="24"/>
        </w:rPr>
        <w:t>4</w:t>
      </w:r>
      <w:bookmarkStart w:id="0" w:name="_GoBack"/>
      <w:bookmarkEnd w:id="0"/>
      <w:r w:rsidRPr="00D83F17">
        <w:rPr>
          <w:rFonts w:ascii="Times New Roman" w:hAnsi="Times New Roman"/>
          <w:sz w:val="24"/>
          <w:szCs w:val="24"/>
        </w:rPr>
        <w:t xml:space="preserve"> году в размере 70,6 процента. Таким образом, в 2015-2017 годах объемы расходов на погашение и обслуживание государственного долга области </w:t>
      </w:r>
      <w:r w:rsidR="00A2503D">
        <w:rPr>
          <w:rFonts w:ascii="Times New Roman" w:hAnsi="Times New Roman"/>
          <w:sz w:val="24"/>
          <w:szCs w:val="24"/>
        </w:rPr>
        <w:t>превышают объемы заимствований.</w:t>
      </w:r>
    </w:p>
    <w:p w:rsidR="009261EB" w:rsidRDefault="009261EB" w:rsidP="009261EB">
      <w:pPr>
        <w:autoSpaceDE w:val="0"/>
        <w:autoSpaceDN w:val="0"/>
        <w:adjustRightInd w:val="0"/>
        <w:spacing w:after="0" w:line="240" w:lineRule="auto"/>
        <w:ind w:firstLine="709"/>
        <w:jc w:val="both"/>
        <w:outlineLvl w:val="3"/>
        <w:rPr>
          <w:rFonts w:ascii="Times New Roman" w:hAnsi="Times New Roman"/>
          <w:sz w:val="24"/>
          <w:szCs w:val="24"/>
        </w:rPr>
      </w:pPr>
      <w:r w:rsidRPr="00B364FA">
        <w:rPr>
          <w:rFonts w:ascii="Times New Roman" w:hAnsi="Times New Roman"/>
          <w:sz w:val="24"/>
          <w:szCs w:val="24"/>
        </w:rPr>
        <w:t xml:space="preserve">На </w:t>
      </w:r>
      <w:r w:rsidRPr="00D8461E">
        <w:rPr>
          <w:rFonts w:ascii="Times New Roman" w:hAnsi="Times New Roman"/>
          <w:sz w:val="24"/>
          <w:szCs w:val="24"/>
        </w:rPr>
        <w:t xml:space="preserve">рисунке </w:t>
      </w:r>
      <w:r w:rsidR="00D8461E" w:rsidRPr="00D8461E">
        <w:rPr>
          <w:rFonts w:ascii="Times New Roman" w:hAnsi="Times New Roman"/>
          <w:sz w:val="24"/>
          <w:szCs w:val="24"/>
        </w:rPr>
        <w:t>22</w:t>
      </w:r>
      <w:r w:rsidRPr="00D8461E">
        <w:rPr>
          <w:rFonts w:ascii="Times New Roman" w:hAnsi="Times New Roman"/>
          <w:sz w:val="24"/>
          <w:szCs w:val="24"/>
        </w:rPr>
        <w:t xml:space="preserve"> </w:t>
      </w:r>
      <w:r w:rsidRPr="00B364FA">
        <w:rPr>
          <w:rFonts w:ascii="Times New Roman" w:hAnsi="Times New Roman"/>
          <w:sz w:val="24"/>
          <w:szCs w:val="24"/>
        </w:rPr>
        <w:t>представлено соотношение объемов расходов на погашение и обслуживание государственного долга к общему объему заимствований в 201</w:t>
      </w:r>
      <w:r>
        <w:rPr>
          <w:rFonts w:ascii="Times New Roman" w:hAnsi="Times New Roman"/>
          <w:sz w:val="24"/>
          <w:szCs w:val="24"/>
        </w:rPr>
        <w:t>4</w:t>
      </w:r>
      <w:r w:rsidRPr="00B364FA">
        <w:rPr>
          <w:rFonts w:ascii="Times New Roman" w:hAnsi="Times New Roman"/>
          <w:sz w:val="24"/>
          <w:szCs w:val="24"/>
        </w:rPr>
        <w:t>-201</w:t>
      </w:r>
      <w:r>
        <w:rPr>
          <w:rFonts w:ascii="Times New Roman" w:hAnsi="Times New Roman"/>
          <w:sz w:val="24"/>
          <w:szCs w:val="24"/>
        </w:rPr>
        <w:t>7</w:t>
      </w:r>
      <w:r w:rsidRPr="00B364FA">
        <w:rPr>
          <w:rFonts w:ascii="Times New Roman" w:hAnsi="Times New Roman"/>
          <w:sz w:val="24"/>
          <w:szCs w:val="24"/>
        </w:rPr>
        <w:t xml:space="preserve"> годах.</w:t>
      </w:r>
    </w:p>
    <w:p w:rsidR="009261EB" w:rsidRDefault="009261EB" w:rsidP="009261EB">
      <w:pPr>
        <w:autoSpaceDE w:val="0"/>
        <w:autoSpaceDN w:val="0"/>
        <w:adjustRightInd w:val="0"/>
        <w:spacing w:after="0" w:line="240" w:lineRule="auto"/>
        <w:ind w:firstLine="709"/>
        <w:jc w:val="both"/>
        <w:outlineLvl w:val="3"/>
        <w:rPr>
          <w:rFonts w:ascii="Times New Roman" w:hAnsi="Times New Roman"/>
          <w:sz w:val="24"/>
          <w:szCs w:val="24"/>
        </w:rPr>
      </w:pPr>
      <w:r w:rsidRPr="004A234A">
        <w:rPr>
          <w:rFonts w:ascii="Times New Roman" w:hAnsi="Times New Roman"/>
          <w:sz w:val="24"/>
          <w:szCs w:val="24"/>
        </w:rPr>
        <w:t>По</w:t>
      </w:r>
      <w:r>
        <w:rPr>
          <w:rFonts w:ascii="Times New Roman" w:hAnsi="Times New Roman"/>
          <w:sz w:val="24"/>
          <w:szCs w:val="24"/>
        </w:rPr>
        <w:t xml:space="preserve">лучение </w:t>
      </w:r>
      <w:r w:rsidRPr="004A234A">
        <w:rPr>
          <w:rFonts w:ascii="Times New Roman" w:hAnsi="Times New Roman"/>
          <w:sz w:val="24"/>
          <w:szCs w:val="24"/>
        </w:rPr>
        <w:t>бюджетных кредитов</w:t>
      </w:r>
      <w:r>
        <w:rPr>
          <w:rFonts w:ascii="Times New Roman" w:hAnsi="Times New Roman"/>
          <w:sz w:val="24"/>
          <w:szCs w:val="24"/>
        </w:rPr>
        <w:t xml:space="preserve"> за счет средств федерального бюджета </w:t>
      </w:r>
      <w:r w:rsidRPr="004A234A">
        <w:rPr>
          <w:rFonts w:ascii="Times New Roman" w:hAnsi="Times New Roman"/>
          <w:sz w:val="24"/>
          <w:szCs w:val="24"/>
        </w:rPr>
        <w:t>для частичного покрытия дефицит</w:t>
      </w:r>
      <w:r>
        <w:rPr>
          <w:rFonts w:ascii="Times New Roman" w:hAnsi="Times New Roman"/>
          <w:sz w:val="24"/>
          <w:szCs w:val="24"/>
        </w:rPr>
        <w:t>а</w:t>
      </w:r>
      <w:r w:rsidRPr="004A234A">
        <w:rPr>
          <w:rFonts w:ascii="Times New Roman" w:hAnsi="Times New Roman"/>
          <w:sz w:val="24"/>
          <w:szCs w:val="24"/>
        </w:rPr>
        <w:t xml:space="preserve"> бюджет</w:t>
      </w:r>
      <w:r>
        <w:rPr>
          <w:rFonts w:ascii="Times New Roman" w:hAnsi="Times New Roman"/>
          <w:sz w:val="24"/>
          <w:szCs w:val="24"/>
        </w:rPr>
        <w:t>а на 2015 и плановый период 2016 и 2017 годов программой государственных внутренних заимствований не предусматривается.</w:t>
      </w:r>
    </w:p>
    <w:p w:rsidR="009261EB" w:rsidRDefault="009261EB" w:rsidP="009261EB">
      <w:pPr>
        <w:autoSpaceDE w:val="0"/>
        <w:autoSpaceDN w:val="0"/>
        <w:adjustRightInd w:val="0"/>
        <w:spacing w:after="0" w:line="240" w:lineRule="auto"/>
        <w:jc w:val="both"/>
        <w:outlineLvl w:val="3"/>
        <w:rPr>
          <w:rFonts w:ascii="Times New Roman" w:hAnsi="Times New Roman"/>
          <w:b/>
          <w:sz w:val="24"/>
          <w:szCs w:val="24"/>
        </w:rPr>
      </w:pPr>
      <w:r w:rsidRPr="00F5301F">
        <w:rPr>
          <w:noProof/>
        </w:rPr>
        <w:drawing>
          <wp:inline distT="0" distB="0" distL="0" distR="0" wp14:anchorId="481C12C9" wp14:editId="78097C56">
            <wp:extent cx="6115050" cy="481965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261EB" w:rsidRPr="00B364FA" w:rsidRDefault="009261EB" w:rsidP="009261EB">
      <w:pPr>
        <w:autoSpaceDE w:val="0"/>
        <w:autoSpaceDN w:val="0"/>
        <w:adjustRightInd w:val="0"/>
        <w:spacing w:after="0" w:line="240" w:lineRule="auto"/>
        <w:ind w:firstLine="709"/>
        <w:jc w:val="center"/>
        <w:outlineLvl w:val="3"/>
        <w:rPr>
          <w:rFonts w:ascii="Times New Roman" w:hAnsi="Times New Roman"/>
          <w:b/>
          <w:sz w:val="24"/>
          <w:szCs w:val="24"/>
        </w:rPr>
      </w:pPr>
      <w:r w:rsidRPr="00D8461E">
        <w:rPr>
          <w:rFonts w:ascii="Times New Roman" w:hAnsi="Times New Roman"/>
          <w:b/>
          <w:sz w:val="24"/>
          <w:szCs w:val="24"/>
        </w:rPr>
        <w:t xml:space="preserve">Рис. </w:t>
      </w:r>
      <w:r w:rsidR="00D8461E" w:rsidRPr="00D8461E">
        <w:rPr>
          <w:rFonts w:ascii="Times New Roman" w:hAnsi="Times New Roman"/>
          <w:b/>
          <w:sz w:val="24"/>
          <w:szCs w:val="24"/>
        </w:rPr>
        <w:t>22</w:t>
      </w:r>
      <w:r w:rsidRPr="00D8461E">
        <w:rPr>
          <w:rFonts w:ascii="Times New Roman" w:hAnsi="Times New Roman"/>
          <w:b/>
          <w:sz w:val="24"/>
          <w:szCs w:val="24"/>
        </w:rPr>
        <w:t xml:space="preserve"> </w:t>
      </w:r>
      <w:r w:rsidRPr="00B364FA">
        <w:rPr>
          <w:rFonts w:ascii="Times New Roman" w:hAnsi="Times New Roman"/>
          <w:b/>
          <w:sz w:val="24"/>
          <w:szCs w:val="24"/>
        </w:rPr>
        <w:t>– Соотношение расходов на погашение и обслуживание государственного долга к общему объему заимствований в 201</w:t>
      </w:r>
      <w:r w:rsidR="00A2503D">
        <w:rPr>
          <w:rFonts w:ascii="Times New Roman" w:hAnsi="Times New Roman"/>
          <w:b/>
          <w:sz w:val="24"/>
          <w:szCs w:val="24"/>
        </w:rPr>
        <w:t>4</w:t>
      </w:r>
      <w:r w:rsidRPr="00B364FA">
        <w:rPr>
          <w:rFonts w:ascii="Times New Roman" w:hAnsi="Times New Roman"/>
          <w:b/>
          <w:sz w:val="24"/>
          <w:szCs w:val="24"/>
        </w:rPr>
        <w:t>-201</w:t>
      </w:r>
      <w:r w:rsidR="00A2503D">
        <w:rPr>
          <w:rFonts w:ascii="Times New Roman" w:hAnsi="Times New Roman"/>
          <w:b/>
          <w:sz w:val="24"/>
          <w:szCs w:val="24"/>
        </w:rPr>
        <w:t>7</w:t>
      </w:r>
      <w:r w:rsidRPr="00B364FA">
        <w:rPr>
          <w:rFonts w:ascii="Times New Roman" w:hAnsi="Times New Roman"/>
          <w:b/>
          <w:sz w:val="24"/>
          <w:szCs w:val="24"/>
        </w:rPr>
        <w:t xml:space="preserve"> годах</w:t>
      </w:r>
    </w:p>
    <w:p w:rsidR="009261EB" w:rsidRDefault="009261EB" w:rsidP="009261EB">
      <w:pPr>
        <w:spacing w:after="0" w:line="240" w:lineRule="auto"/>
        <w:ind w:firstLine="709"/>
        <w:jc w:val="both"/>
        <w:rPr>
          <w:rFonts w:ascii="Times New Roman" w:hAnsi="Times New Roman"/>
          <w:sz w:val="24"/>
          <w:szCs w:val="24"/>
        </w:rPr>
      </w:pPr>
      <w:r w:rsidRPr="00C634E6">
        <w:rPr>
          <w:rFonts w:ascii="Times New Roman" w:hAnsi="Times New Roman"/>
          <w:sz w:val="24"/>
          <w:szCs w:val="24"/>
        </w:rPr>
        <w:t>Контрольно-счетная палата Амурской области обращает внимание</w:t>
      </w:r>
      <w:r w:rsidR="00A2503D">
        <w:rPr>
          <w:rFonts w:ascii="Times New Roman" w:hAnsi="Times New Roman"/>
          <w:sz w:val="24"/>
          <w:szCs w:val="24"/>
        </w:rPr>
        <w:t xml:space="preserve"> на то</w:t>
      </w:r>
      <w:r w:rsidRPr="00C634E6">
        <w:rPr>
          <w:rFonts w:ascii="Times New Roman" w:hAnsi="Times New Roman"/>
          <w:sz w:val="24"/>
          <w:szCs w:val="24"/>
        </w:rPr>
        <w:t>, что Программа</w:t>
      </w:r>
      <w:r w:rsidR="00D8461E">
        <w:rPr>
          <w:rFonts w:ascii="Times New Roman" w:hAnsi="Times New Roman"/>
          <w:sz w:val="24"/>
          <w:szCs w:val="24"/>
        </w:rPr>
        <w:t>ми</w:t>
      </w:r>
      <w:r w:rsidRPr="00C634E6">
        <w:rPr>
          <w:rFonts w:ascii="Times New Roman" w:hAnsi="Times New Roman"/>
          <w:sz w:val="24"/>
          <w:szCs w:val="24"/>
        </w:rPr>
        <w:t xml:space="preserve"> предоставления государственных гарантий области на 201</w:t>
      </w:r>
      <w:r>
        <w:rPr>
          <w:rFonts w:ascii="Times New Roman" w:hAnsi="Times New Roman"/>
          <w:sz w:val="24"/>
          <w:szCs w:val="24"/>
        </w:rPr>
        <w:t>5</w:t>
      </w:r>
      <w:r w:rsidRPr="00C634E6">
        <w:rPr>
          <w:rFonts w:ascii="Times New Roman" w:hAnsi="Times New Roman"/>
          <w:sz w:val="24"/>
          <w:szCs w:val="24"/>
        </w:rPr>
        <w:t xml:space="preserve"> год и на плановый период 201</w:t>
      </w:r>
      <w:r>
        <w:rPr>
          <w:rFonts w:ascii="Times New Roman" w:hAnsi="Times New Roman"/>
          <w:sz w:val="24"/>
          <w:szCs w:val="24"/>
        </w:rPr>
        <w:t>6</w:t>
      </w:r>
      <w:r w:rsidRPr="00C634E6">
        <w:rPr>
          <w:rFonts w:ascii="Times New Roman" w:hAnsi="Times New Roman"/>
          <w:sz w:val="24"/>
          <w:szCs w:val="24"/>
        </w:rPr>
        <w:t xml:space="preserve"> и 201</w:t>
      </w:r>
      <w:r>
        <w:rPr>
          <w:rFonts w:ascii="Times New Roman" w:hAnsi="Times New Roman"/>
          <w:sz w:val="24"/>
          <w:szCs w:val="24"/>
        </w:rPr>
        <w:t>7</w:t>
      </w:r>
      <w:r w:rsidRPr="00C634E6">
        <w:rPr>
          <w:rFonts w:ascii="Times New Roman" w:hAnsi="Times New Roman"/>
          <w:sz w:val="24"/>
          <w:szCs w:val="24"/>
        </w:rPr>
        <w:t xml:space="preserve"> годов установлен только объем ассигнований на исполнение государственных гарантий </w:t>
      </w:r>
      <w:r>
        <w:rPr>
          <w:rFonts w:ascii="Times New Roman" w:hAnsi="Times New Roman"/>
          <w:sz w:val="24"/>
          <w:szCs w:val="24"/>
        </w:rPr>
        <w:t xml:space="preserve">Амурской области по возможным </w:t>
      </w:r>
      <w:r w:rsidRPr="00C634E6">
        <w:rPr>
          <w:rFonts w:ascii="Times New Roman" w:hAnsi="Times New Roman"/>
          <w:sz w:val="24"/>
          <w:szCs w:val="24"/>
        </w:rPr>
        <w:t xml:space="preserve">гарантийным случаям, </w:t>
      </w:r>
      <w:r>
        <w:rPr>
          <w:rFonts w:ascii="Times New Roman" w:hAnsi="Times New Roman"/>
          <w:sz w:val="24"/>
          <w:szCs w:val="24"/>
        </w:rPr>
        <w:t xml:space="preserve">в том числе: за счет источников финансирования дефицита областного бюджета </w:t>
      </w:r>
      <w:r w:rsidRPr="00C634E6">
        <w:rPr>
          <w:rFonts w:ascii="Times New Roman" w:hAnsi="Times New Roman"/>
          <w:sz w:val="24"/>
          <w:szCs w:val="24"/>
        </w:rPr>
        <w:t>в 201</w:t>
      </w:r>
      <w:r>
        <w:rPr>
          <w:rFonts w:ascii="Times New Roman" w:hAnsi="Times New Roman"/>
          <w:sz w:val="24"/>
          <w:szCs w:val="24"/>
        </w:rPr>
        <w:t>5</w:t>
      </w:r>
      <w:r w:rsidRPr="00C634E6">
        <w:rPr>
          <w:rFonts w:ascii="Times New Roman" w:hAnsi="Times New Roman"/>
          <w:sz w:val="24"/>
          <w:szCs w:val="24"/>
        </w:rPr>
        <w:t xml:space="preserve"> году – </w:t>
      </w:r>
      <w:r>
        <w:rPr>
          <w:rFonts w:ascii="Times New Roman" w:hAnsi="Times New Roman"/>
          <w:sz w:val="24"/>
          <w:szCs w:val="24"/>
        </w:rPr>
        <w:lastRenderedPageBreak/>
        <w:t>63932,3,0</w:t>
      </w:r>
      <w:r w:rsidRPr="00C634E6">
        <w:rPr>
          <w:rFonts w:ascii="Times New Roman" w:hAnsi="Times New Roman"/>
          <w:sz w:val="24"/>
          <w:szCs w:val="24"/>
        </w:rPr>
        <w:t xml:space="preserve"> тыс. рублей, в 201</w:t>
      </w:r>
      <w:r>
        <w:rPr>
          <w:rFonts w:ascii="Times New Roman" w:hAnsi="Times New Roman"/>
          <w:sz w:val="24"/>
          <w:szCs w:val="24"/>
        </w:rPr>
        <w:t>6</w:t>
      </w:r>
      <w:r w:rsidRPr="00C634E6">
        <w:rPr>
          <w:rFonts w:ascii="Times New Roman" w:hAnsi="Times New Roman"/>
          <w:sz w:val="24"/>
          <w:szCs w:val="24"/>
        </w:rPr>
        <w:t xml:space="preserve"> году – </w:t>
      </w:r>
      <w:r>
        <w:rPr>
          <w:rFonts w:ascii="Times New Roman" w:hAnsi="Times New Roman"/>
          <w:sz w:val="24"/>
          <w:szCs w:val="24"/>
        </w:rPr>
        <w:t>37804,7 тыс. рублей, в 2017</w:t>
      </w:r>
      <w:r w:rsidRPr="00C634E6">
        <w:rPr>
          <w:rFonts w:ascii="Times New Roman" w:hAnsi="Times New Roman"/>
          <w:sz w:val="24"/>
          <w:szCs w:val="24"/>
        </w:rPr>
        <w:t xml:space="preserve"> году – </w:t>
      </w:r>
      <w:r>
        <w:rPr>
          <w:rFonts w:ascii="Times New Roman" w:hAnsi="Times New Roman"/>
          <w:sz w:val="24"/>
          <w:szCs w:val="24"/>
        </w:rPr>
        <w:t xml:space="preserve">23690,1 </w:t>
      </w:r>
      <w:r w:rsidRPr="00C634E6">
        <w:rPr>
          <w:rFonts w:ascii="Times New Roman" w:hAnsi="Times New Roman"/>
          <w:sz w:val="24"/>
          <w:szCs w:val="24"/>
        </w:rPr>
        <w:t>тыс. рублей</w:t>
      </w:r>
      <w:r>
        <w:rPr>
          <w:rFonts w:ascii="Times New Roman" w:hAnsi="Times New Roman"/>
          <w:sz w:val="24"/>
          <w:szCs w:val="24"/>
        </w:rPr>
        <w:t>; за счет расходов областного бюджета в 2015 и 2016 годах по</w:t>
      </w:r>
      <w:r w:rsidRPr="00C634E6">
        <w:rPr>
          <w:rFonts w:ascii="Times New Roman" w:hAnsi="Times New Roman"/>
          <w:sz w:val="24"/>
          <w:szCs w:val="24"/>
        </w:rPr>
        <w:t xml:space="preserve"> </w:t>
      </w:r>
      <w:r>
        <w:rPr>
          <w:rFonts w:ascii="Times New Roman" w:hAnsi="Times New Roman"/>
          <w:sz w:val="24"/>
          <w:szCs w:val="24"/>
        </w:rPr>
        <w:t>40790,0</w:t>
      </w:r>
      <w:r w:rsidRPr="00C634E6">
        <w:rPr>
          <w:rFonts w:ascii="Times New Roman" w:hAnsi="Times New Roman"/>
          <w:sz w:val="24"/>
          <w:szCs w:val="24"/>
        </w:rPr>
        <w:t xml:space="preserve"> тыс. рублей на исполнение государственных гарантий Амурской области, выданных без права регрессного требования по обязательствам, возникшим по договорам финансовой аренды (лизинга) в сфере сель</w:t>
      </w:r>
      <w:r>
        <w:rPr>
          <w:rFonts w:ascii="Times New Roman" w:hAnsi="Times New Roman"/>
          <w:sz w:val="24"/>
          <w:szCs w:val="24"/>
        </w:rPr>
        <w:t>скохозяйственного производства.</w:t>
      </w:r>
      <w:r w:rsidRPr="007871EF">
        <w:rPr>
          <w:rFonts w:ascii="Times New Roman" w:hAnsi="Times New Roman"/>
          <w:sz w:val="24"/>
          <w:szCs w:val="24"/>
        </w:rPr>
        <w:t xml:space="preserve"> </w:t>
      </w:r>
      <w:r>
        <w:rPr>
          <w:rFonts w:ascii="Times New Roman" w:hAnsi="Times New Roman"/>
          <w:sz w:val="24"/>
          <w:szCs w:val="24"/>
        </w:rPr>
        <w:t xml:space="preserve">Мораторий на предоставление государственных гарантий установлен </w:t>
      </w:r>
      <w:hyperlink r:id="rId38" w:history="1">
        <w:r w:rsidRPr="002F4E84">
          <w:rPr>
            <w:rFonts w:ascii="Times New Roman" w:hAnsi="Times New Roman"/>
            <w:sz w:val="24"/>
            <w:szCs w:val="24"/>
          </w:rPr>
          <w:t>План</w:t>
        </w:r>
      </w:hyperlink>
      <w:r>
        <w:rPr>
          <w:rFonts w:ascii="Times New Roman" w:hAnsi="Times New Roman"/>
          <w:sz w:val="24"/>
          <w:szCs w:val="24"/>
        </w:rPr>
        <w:t>ом мероприятий по повышению поступлений налоговых и неналоговых доходов бюджета Амурской области, а также по снижению долговой нагрузки областного бюджета на 2013-2015 годы, утвержденным распоряжением Правительства Амурской области от 10.06.2013 № 78-р.</w:t>
      </w:r>
    </w:p>
    <w:p w:rsidR="009261EB" w:rsidRDefault="009261EB" w:rsidP="009261EB">
      <w:pPr>
        <w:spacing w:after="0" w:line="240" w:lineRule="auto"/>
        <w:ind w:firstLine="709"/>
        <w:jc w:val="both"/>
        <w:rPr>
          <w:rFonts w:ascii="Times New Roman" w:hAnsi="Times New Roman"/>
          <w:sz w:val="24"/>
          <w:szCs w:val="24"/>
        </w:rPr>
      </w:pPr>
    </w:p>
    <w:p w:rsidR="00AA49D1" w:rsidRPr="00AA49D1" w:rsidRDefault="00AA49D1" w:rsidP="00DA5F4F">
      <w:pPr>
        <w:pStyle w:val="ad"/>
        <w:numPr>
          <w:ilvl w:val="0"/>
          <w:numId w:val="14"/>
        </w:numPr>
        <w:spacing w:after="0" w:line="240" w:lineRule="auto"/>
        <w:jc w:val="center"/>
        <w:rPr>
          <w:rFonts w:ascii="Times New Roman" w:eastAsiaTheme="minorHAnsi" w:hAnsi="Times New Roman"/>
          <w:b/>
          <w:sz w:val="24"/>
          <w:szCs w:val="24"/>
        </w:rPr>
      </w:pPr>
      <w:r w:rsidRPr="00AA49D1">
        <w:rPr>
          <w:rFonts w:ascii="Times New Roman" w:eastAsiaTheme="minorHAnsi" w:hAnsi="Times New Roman"/>
          <w:b/>
          <w:sz w:val="24"/>
          <w:szCs w:val="24"/>
        </w:rPr>
        <w:t>Анализ текстовых статей проекта закона Амурской области</w:t>
      </w:r>
    </w:p>
    <w:p w:rsidR="00AA49D1" w:rsidRPr="00AA49D1" w:rsidRDefault="00AA49D1" w:rsidP="00AA49D1">
      <w:pPr>
        <w:spacing w:after="0" w:line="240" w:lineRule="auto"/>
        <w:ind w:firstLine="709"/>
        <w:jc w:val="center"/>
        <w:rPr>
          <w:rFonts w:ascii="Times New Roman" w:eastAsiaTheme="minorHAnsi" w:hAnsi="Times New Roman"/>
          <w:b/>
          <w:sz w:val="24"/>
          <w:szCs w:val="24"/>
          <w:lang w:eastAsia="en-US"/>
        </w:rPr>
      </w:pPr>
      <w:r w:rsidRPr="00AA49D1">
        <w:rPr>
          <w:rFonts w:ascii="Times New Roman" w:eastAsiaTheme="minorHAnsi" w:hAnsi="Times New Roman"/>
          <w:b/>
          <w:sz w:val="24"/>
          <w:szCs w:val="24"/>
          <w:lang w:eastAsia="en-US"/>
        </w:rPr>
        <w:t>«Об областном бюджете на 2015 год и плановый период 2016 и 2017 годов»</w:t>
      </w:r>
    </w:p>
    <w:p w:rsidR="00AA49D1" w:rsidRPr="00AA49D1" w:rsidRDefault="00AA49D1" w:rsidP="00AA49D1">
      <w:pPr>
        <w:spacing w:after="0" w:line="240" w:lineRule="auto"/>
        <w:ind w:firstLine="709"/>
        <w:jc w:val="both"/>
        <w:rPr>
          <w:rFonts w:ascii="Times New Roman" w:eastAsiaTheme="minorHAnsi" w:hAnsi="Times New Roman"/>
          <w:bCs/>
          <w:sz w:val="24"/>
          <w:szCs w:val="24"/>
          <w:lang w:eastAsia="en-US"/>
        </w:rPr>
      </w:pPr>
      <w:r w:rsidRPr="00AA49D1">
        <w:rPr>
          <w:rFonts w:ascii="Times New Roman" w:eastAsiaTheme="minorHAnsi" w:hAnsi="Times New Roman"/>
          <w:sz w:val="24"/>
          <w:szCs w:val="24"/>
          <w:lang w:eastAsia="en-US"/>
        </w:rPr>
        <w:t>Анализ текстовых статей проекта закона Амурской области «Об областном бюджете на 2015 год и плановый период 2016 и 2017 годов» (далее по тексту – законопроект) позволяет сделать вывод о том, что</w:t>
      </w:r>
      <w:r w:rsidRPr="00AA49D1">
        <w:rPr>
          <w:rFonts w:ascii="Times New Roman" w:eastAsiaTheme="minorHAnsi" w:hAnsi="Times New Roman"/>
          <w:bCs/>
          <w:sz w:val="24"/>
          <w:szCs w:val="24"/>
          <w:lang w:eastAsia="en-US"/>
        </w:rPr>
        <w:t xml:space="preserve"> в законопроекте в применении норм действующего законодательства Российской Федерации и Амурской области имеются отдельные противоречия и несоответствия.</w:t>
      </w:r>
    </w:p>
    <w:p w:rsidR="00AA49D1" w:rsidRPr="00F07AB8" w:rsidRDefault="00AA49D1" w:rsidP="00F07AB8">
      <w:pPr>
        <w:pStyle w:val="ad"/>
        <w:numPr>
          <w:ilvl w:val="0"/>
          <w:numId w:val="35"/>
        </w:numPr>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 xml:space="preserve">Часть 1 статьи 9 законопроекта устанавливает дополнительно к нормам Бюджетного кодекса Российской Федерации </w:t>
      </w:r>
      <w:r w:rsidR="00CD09D2" w:rsidRPr="00F07AB8">
        <w:rPr>
          <w:rFonts w:ascii="Times New Roman" w:eastAsiaTheme="minorHAnsi" w:hAnsi="Times New Roman"/>
          <w:sz w:val="24"/>
          <w:szCs w:val="24"/>
        </w:rPr>
        <w:t>семь</w:t>
      </w:r>
      <w:r w:rsidRPr="00F07AB8">
        <w:rPr>
          <w:rFonts w:ascii="Times New Roman" w:eastAsiaTheme="minorHAnsi" w:hAnsi="Times New Roman"/>
          <w:sz w:val="24"/>
          <w:szCs w:val="24"/>
        </w:rPr>
        <w:t xml:space="preserve"> оснований для внесения в 2015 году изменений в показатели сводной бюджетной росписи областного бюджета, связанных с особенностями исполнения областного бюджета, не требующих внесения изменений в закон об областном бюджете.</w:t>
      </w:r>
      <w:r w:rsidR="00CD09D2" w:rsidRPr="00F07AB8">
        <w:rPr>
          <w:rFonts w:ascii="Times New Roman" w:eastAsiaTheme="minorHAnsi" w:hAnsi="Times New Roman"/>
          <w:sz w:val="24"/>
          <w:szCs w:val="24"/>
        </w:rPr>
        <w:t xml:space="preserve"> Контрольно-счетная палата Амурской области в отношении отдельных оснований отмечает следующее:</w:t>
      </w:r>
    </w:p>
    <w:p w:rsidR="00AA49D1" w:rsidRPr="00AA49D1" w:rsidRDefault="00AA49D1" w:rsidP="00AA49D1">
      <w:pPr>
        <w:widowControl w:val="0"/>
        <w:tabs>
          <w:tab w:val="left" w:pos="1134"/>
        </w:tabs>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 xml:space="preserve">а)Пунктом 3 части 1 статьи 9 проекта закона одним из оснований для внесения </w:t>
      </w:r>
      <w:r>
        <w:rPr>
          <w:rFonts w:ascii="Times New Roman" w:eastAsiaTheme="minorHAnsi" w:hAnsi="Times New Roman"/>
          <w:sz w:val="24"/>
          <w:szCs w:val="24"/>
          <w:lang w:eastAsia="en-US"/>
        </w:rPr>
        <w:br/>
      </w:r>
      <w:r w:rsidRPr="00AA49D1">
        <w:rPr>
          <w:rFonts w:ascii="Times New Roman" w:eastAsiaTheme="minorHAnsi" w:hAnsi="Times New Roman"/>
          <w:sz w:val="24"/>
          <w:szCs w:val="24"/>
          <w:lang w:eastAsia="en-US"/>
        </w:rPr>
        <w:t>в 2015 году изменений в показатели сводной бюджетной росписи областного бюджета, связанных с особенностями исполнения областного бюджета, не требующих внесения изменений в закон об областном бюджете, названо перераспределение бюджетных ассигнований, предусмотренных в составе ведомственной структуры расходов областного бюджета на 2015 год на исполнение Амурской областью государственных гарантий, не влекущих возникновения права регрессного требования гаранта к принципалу и не обусловленных уступкой гаранту прав требования бенефициара к принципалу, в случае надлежащего исполнения принципалом его обязательства перед бенефициаром, на замещение государ</w:t>
      </w:r>
      <w:r w:rsidR="00A33CE9">
        <w:rPr>
          <w:rFonts w:ascii="Times New Roman" w:eastAsiaTheme="minorHAnsi" w:hAnsi="Times New Roman"/>
          <w:sz w:val="24"/>
          <w:szCs w:val="24"/>
          <w:lang w:eastAsia="en-US"/>
        </w:rPr>
        <w:t>ственных заимствований области.</w:t>
      </w:r>
    </w:p>
    <w:p w:rsidR="00AA49D1" w:rsidRPr="00AA49D1" w:rsidRDefault="00AA49D1" w:rsidP="00AA49D1">
      <w:pPr>
        <w:widowControl w:val="0"/>
        <w:tabs>
          <w:tab w:val="left" w:pos="1134"/>
        </w:tabs>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Согласно пункту 12 статьи 115 Бюджетного кодекса Российской Федерации, 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AA49D1" w:rsidRPr="00AA49D1" w:rsidRDefault="00AA49D1" w:rsidP="00AA49D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Названное основание затрагивает как источники финансирования дефицита бюджета, так и расходы бюджета.</w:t>
      </w:r>
    </w:p>
    <w:p w:rsidR="00AA49D1" w:rsidRPr="00AA49D1" w:rsidRDefault="00AA49D1" w:rsidP="00AA49D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Согласно пункту 3 статьи 217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AA49D1" w:rsidRPr="00AA49D1" w:rsidRDefault="00AA49D1" w:rsidP="00AA49D1">
      <w:pPr>
        <w:widowControl w:val="0"/>
        <w:tabs>
          <w:tab w:val="left" w:pos="1134"/>
        </w:tabs>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Таким образом, положения пункта 3 части 1 статьи 9 проекта закона не соответствуют вышеназванной норме Бюджетного кодекса Российской Федерации, так как допускают изменение общего объема бюджетных ассигнований по источникам финансирования дефицита бюджета (приложение № 7 к законопроекту), программ</w:t>
      </w:r>
      <w:r>
        <w:rPr>
          <w:rFonts w:ascii="Times New Roman" w:eastAsiaTheme="minorHAnsi" w:hAnsi="Times New Roman"/>
          <w:sz w:val="24"/>
          <w:szCs w:val="24"/>
          <w:lang w:eastAsia="en-US"/>
        </w:rPr>
        <w:t xml:space="preserve">е </w:t>
      </w:r>
      <w:r w:rsidRPr="00AA49D1">
        <w:rPr>
          <w:rFonts w:ascii="Times New Roman" w:eastAsiaTheme="minorHAnsi" w:hAnsi="Times New Roman"/>
          <w:sz w:val="24"/>
          <w:szCs w:val="24"/>
          <w:lang w:eastAsia="en-US"/>
        </w:rPr>
        <w:t>государственных внутренних заимствований Амурской области (приложение № 45 к законопроекту) без внесения изменений в закон об областном бюджете.</w:t>
      </w:r>
    </w:p>
    <w:p w:rsidR="00AA49D1" w:rsidRPr="00AA49D1" w:rsidRDefault="00AA49D1" w:rsidP="00AA49D1">
      <w:pPr>
        <w:widowControl w:val="0"/>
        <w:tabs>
          <w:tab w:val="left" w:pos="1134"/>
        </w:tabs>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lastRenderedPageBreak/>
        <w:t xml:space="preserve">б)Текстовая редакция пункта 5 части 1 статьи 9 законопроекта не в полной мере соответствует положениям абзаца 1 пункта 5 статьи 136 Бюджетного кодекса Российской Федерации, которым  установлено, что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r:id="rId39" w:history="1">
        <w:r w:rsidRPr="00AA49D1">
          <w:rPr>
            <w:rFonts w:ascii="Times New Roman" w:eastAsiaTheme="minorHAnsi" w:hAnsi="Times New Roman"/>
            <w:sz w:val="24"/>
            <w:szCs w:val="24"/>
            <w:lang w:eastAsia="en-US"/>
          </w:rPr>
          <w:t>законодательством</w:t>
        </w:r>
      </w:hyperlink>
      <w:r w:rsidRPr="00AA49D1">
        <w:rPr>
          <w:rFonts w:ascii="Times New Roman" w:eastAsiaTheme="minorHAnsi" w:hAnsi="Times New Roman"/>
          <w:sz w:val="24"/>
          <w:szCs w:val="24"/>
          <w:lang w:eastAsia="en-US"/>
        </w:rPr>
        <w:t xml:space="preserve"> Российской Федерации</w:t>
      </w:r>
      <w:r w:rsidRPr="00AA49D1">
        <w:rPr>
          <w:rFonts w:ascii="Times New Roman" w:eastAsiaTheme="minorHAnsi" w:hAnsi="Times New Roman"/>
          <w:b/>
          <w:i/>
          <w:sz w:val="24"/>
          <w:szCs w:val="24"/>
          <w:lang w:eastAsia="en-US"/>
        </w:rPr>
        <w:t>, а также</w:t>
      </w:r>
      <w:r w:rsidRPr="00AA49D1">
        <w:rPr>
          <w:rFonts w:ascii="Times New Roman" w:eastAsiaTheme="minorHAnsi" w:hAnsi="Times New Roman"/>
          <w:sz w:val="24"/>
          <w:szCs w:val="24"/>
          <w:lang w:eastAsia="en-US"/>
        </w:rPr>
        <w:t xml:space="preserve"> при нарушении предельных значений, установленных </w:t>
      </w:r>
      <w:r>
        <w:rPr>
          <w:rFonts w:ascii="Times New Roman" w:eastAsiaTheme="minorHAnsi" w:hAnsi="Times New Roman"/>
          <w:sz w:val="24"/>
          <w:szCs w:val="24"/>
          <w:lang w:eastAsia="en-US"/>
        </w:rPr>
        <w:br/>
      </w:r>
      <w:hyperlink r:id="rId40" w:history="1">
        <w:r w:rsidRPr="00AA49D1">
          <w:rPr>
            <w:rFonts w:ascii="Times New Roman" w:eastAsiaTheme="minorHAnsi" w:hAnsi="Times New Roman"/>
            <w:sz w:val="24"/>
            <w:szCs w:val="24"/>
            <w:lang w:eastAsia="en-US"/>
          </w:rPr>
          <w:t>пунктом 3 статьи 92.1</w:t>
        </w:r>
      </w:hyperlink>
      <w:r w:rsidRPr="00AA49D1">
        <w:rPr>
          <w:rFonts w:ascii="Times New Roman" w:eastAsiaTheme="minorHAnsi" w:hAnsi="Times New Roman"/>
          <w:sz w:val="24"/>
          <w:szCs w:val="24"/>
          <w:lang w:eastAsia="en-US"/>
        </w:rPr>
        <w:t xml:space="preserve"> и </w:t>
      </w:r>
      <w:hyperlink r:id="rId41" w:history="1">
        <w:r w:rsidRPr="00AA49D1">
          <w:rPr>
            <w:rFonts w:ascii="Times New Roman" w:eastAsiaTheme="minorHAnsi" w:hAnsi="Times New Roman"/>
            <w:sz w:val="24"/>
            <w:szCs w:val="24"/>
            <w:lang w:eastAsia="en-US"/>
          </w:rPr>
          <w:t>статьи 107</w:t>
        </w:r>
      </w:hyperlink>
      <w:r w:rsidRPr="00AA49D1">
        <w:rPr>
          <w:rFonts w:ascii="Times New Roman" w:eastAsiaTheme="minorHAnsi" w:hAnsi="Times New Roman"/>
          <w:sz w:val="24"/>
          <w:szCs w:val="24"/>
          <w:lang w:eastAsia="en-US"/>
        </w:rPr>
        <w:t xml:space="preserve"> настоящего Кодекса, и в случаях, предусмотренных </w:t>
      </w:r>
      <w:hyperlink r:id="rId42" w:history="1">
        <w:r w:rsidRPr="00AA49D1">
          <w:rPr>
            <w:rFonts w:ascii="Times New Roman" w:eastAsiaTheme="minorHAnsi" w:hAnsi="Times New Roman"/>
            <w:sz w:val="24"/>
            <w:szCs w:val="24"/>
            <w:lang w:eastAsia="en-US"/>
          </w:rPr>
          <w:t>главой 30</w:t>
        </w:r>
      </w:hyperlink>
      <w:r w:rsidRPr="00AA49D1">
        <w:rPr>
          <w:rFonts w:ascii="Times New Roman" w:eastAsiaTheme="minorHAnsi" w:hAnsi="Times New Roman"/>
          <w:sz w:val="24"/>
          <w:szCs w:val="24"/>
          <w:lang w:eastAsia="en-US"/>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В пункте 5 части 1 статьи 9 проекта закона после слов «бюджетным законодательством Российской Федерации» следует дополнить словами «а также».</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в)В пункте 6 части 1 статьи 9 проекта закона допущена опечатка в слове «юридическим».</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г)Пунктом 7 части 1 статьи 9 проекта закона в качестве основания для внесения в 2015 году изменений в показатели сводной бюджетной росписи областного бюджета, связанных с особенностями исполнения областного бюджета, не требующих внесения изменений в закон об областном бюджете, названо внесение изменений в государственные программы области в пределах утвержденного настоящим Законом объема бюджетных ассигнований на реализацию государственной программы  на соответствующий финансовый год, если изменения не связаны с определением видов и объемов межбюджетных трансфертов и уменьшением публ</w:t>
      </w:r>
      <w:r w:rsidR="00A33CE9">
        <w:rPr>
          <w:rFonts w:ascii="Times New Roman" w:eastAsiaTheme="minorHAnsi" w:hAnsi="Times New Roman"/>
          <w:sz w:val="24"/>
          <w:szCs w:val="24"/>
          <w:lang w:eastAsia="en-US"/>
        </w:rPr>
        <w:t>ичных нормативных обязательств.</w:t>
      </w:r>
    </w:p>
    <w:p w:rsidR="00AA49D1" w:rsidRPr="00AA49D1" w:rsidRDefault="00AA49D1" w:rsidP="00AA49D1">
      <w:pPr>
        <w:widowControl w:val="0"/>
        <w:autoSpaceDE w:val="0"/>
        <w:autoSpaceDN w:val="0"/>
        <w:adjustRightInd w:val="0"/>
        <w:spacing w:after="0" w:line="240" w:lineRule="auto"/>
        <w:ind w:firstLine="709"/>
        <w:jc w:val="both"/>
        <w:rPr>
          <w:rFonts w:ascii="Times New Roman" w:hAnsi="Times New Roman"/>
          <w:sz w:val="24"/>
          <w:szCs w:val="24"/>
        </w:rPr>
      </w:pPr>
      <w:r w:rsidRPr="00AA49D1">
        <w:rPr>
          <w:rFonts w:ascii="Times New Roman" w:hAnsi="Times New Roman"/>
          <w:sz w:val="24"/>
          <w:szCs w:val="24"/>
        </w:rPr>
        <w:t>Частью 5 статьи 8 законопроекта установлены бюджетные ассигнования на осуществление бюджетных инвестиций и предоставление бюджетным и автономным учреждениям, государственным унитарным предприятиям области субсидий на осуществление капитальных вложений в объекты государственной собственности области, софинансирование капитальных вложений в которые осуществляется за счет межбюджетных субсидий из федерального бюджета на 2015 год и плановый период 2016 и 2017 г</w:t>
      </w:r>
      <w:r w:rsidR="00A33CE9">
        <w:rPr>
          <w:rFonts w:ascii="Times New Roman" w:hAnsi="Times New Roman"/>
          <w:sz w:val="24"/>
          <w:szCs w:val="24"/>
        </w:rPr>
        <w:t>одов, согласно приложению № 10.</w:t>
      </w:r>
    </w:p>
    <w:p w:rsidR="00AA49D1" w:rsidRPr="00AA49D1" w:rsidRDefault="00AA49D1" w:rsidP="00AA49D1">
      <w:pPr>
        <w:widowControl w:val="0"/>
        <w:autoSpaceDE w:val="0"/>
        <w:autoSpaceDN w:val="0"/>
        <w:adjustRightInd w:val="0"/>
        <w:spacing w:after="0" w:line="240" w:lineRule="auto"/>
        <w:ind w:firstLine="709"/>
        <w:jc w:val="both"/>
        <w:rPr>
          <w:rFonts w:ascii="Times New Roman" w:hAnsi="Times New Roman"/>
          <w:sz w:val="24"/>
          <w:szCs w:val="24"/>
        </w:rPr>
      </w:pPr>
      <w:r w:rsidRPr="00AA49D1">
        <w:rPr>
          <w:rFonts w:ascii="Times New Roman" w:hAnsi="Times New Roman"/>
          <w:sz w:val="24"/>
          <w:szCs w:val="24"/>
        </w:rPr>
        <w:t>Статьей 15 законопроекта утверждаются бюджетные инвестиции, предоставляемые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бюджетных инвестиций в объекты капитального строительства), на 2015 год и плановый период 2016 и 2017 годов согласно приложению № 44.</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 xml:space="preserve">Таким образом, внесение изменений в государственные программы области без внесения изменений в закон об областном бюджете возможно в тех случаях, когда такие изменения не затрагивают бюджетные инвестиции, предусмотренные приложениями </w:t>
      </w:r>
      <w:r>
        <w:rPr>
          <w:rFonts w:ascii="Times New Roman" w:eastAsiaTheme="minorHAnsi" w:hAnsi="Times New Roman"/>
          <w:sz w:val="24"/>
          <w:szCs w:val="24"/>
          <w:lang w:eastAsia="en-US"/>
        </w:rPr>
        <w:br/>
      </w:r>
      <w:r w:rsidRPr="00AA49D1">
        <w:rPr>
          <w:rFonts w:ascii="Times New Roman" w:eastAsiaTheme="minorHAnsi" w:hAnsi="Times New Roman"/>
          <w:sz w:val="24"/>
          <w:szCs w:val="24"/>
          <w:lang w:eastAsia="en-US"/>
        </w:rPr>
        <w:t>№№ 10, 44 к законопроекту.</w:t>
      </w:r>
    </w:p>
    <w:p w:rsidR="00AA49D1" w:rsidRPr="00F07AB8" w:rsidRDefault="00AA49D1" w:rsidP="00F07AB8">
      <w:pPr>
        <w:pStyle w:val="ad"/>
        <w:numPr>
          <w:ilvl w:val="0"/>
          <w:numId w:val="35"/>
        </w:numPr>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Частями 2, 3 статьи 9 законопроекта установлены особенности использования средств, полученных из областного бюджета организациями, не являющимися участниками бюджетного процесса.</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 xml:space="preserve">Абзацем первым части 2 статьи 9 проекта закона установлено, что субсидии юридическим лицам (за исключением субсидий областным  бюджетным и автономным учреждениям, субсидий  государственным унитарным предприятиям на осуществление капитальных вложений), </w:t>
      </w:r>
      <w:r w:rsidRPr="00AA49D1">
        <w:rPr>
          <w:rFonts w:ascii="Times New Roman" w:eastAsiaTheme="minorHAnsi" w:hAnsi="Times New Roman"/>
          <w:b/>
          <w:i/>
          <w:sz w:val="24"/>
          <w:szCs w:val="24"/>
          <w:lang w:eastAsia="en-US"/>
        </w:rPr>
        <w:t>размер предоставления которых каждому юридическому лицу превышает 1000,0 тыс. рублей, включенные в утверждаемый Правительством Амурской области перечень</w:t>
      </w:r>
      <w:r w:rsidRPr="00AA49D1">
        <w:rPr>
          <w:rFonts w:ascii="Times New Roman" w:eastAsiaTheme="minorHAnsi" w:hAnsi="Times New Roman"/>
          <w:sz w:val="24"/>
          <w:szCs w:val="24"/>
          <w:lang w:eastAsia="en-US"/>
        </w:rPr>
        <w:t>, подлежат перечислению на лицевые счета, открытые юридическим лицам в министерстве финансов Амурской области в порядке, установленном министерством финансов Амурской области.</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 xml:space="preserve">Применение данного пункта на практике в части конкретного размера предоставляемых субсидий представляется весьма проблематичным, так как предоставление </w:t>
      </w:r>
      <w:r w:rsidRPr="00AA49D1">
        <w:rPr>
          <w:rFonts w:ascii="Times New Roman" w:eastAsiaTheme="minorHAnsi" w:hAnsi="Times New Roman"/>
          <w:sz w:val="24"/>
          <w:szCs w:val="24"/>
          <w:lang w:eastAsia="en-US"/>
        </w:rPr>
        <w:lastRenderedPageBreak/>
        <w:t>субсидий носит компенсационный характер и осуществляется в заявительном порядке, то есть определить заранее – какая сумма субсидий будет предоставлена (более 1000,0 тыс. рублей или нет) очень проблематично.</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Также не совсем понятно – о каком утверждаемом Правительством Амурской области перечне идет речь.</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Абзацем вторым части 2 статьи 9 проекта закона установлено, что операции по перечислению средств, отраженных на лицевых счетах, указанных в абзаце первом настоящей части,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целей и порядка, установленных</w:t>
      </w:r>
      <w:r w:rsidRPr="00AA49D1">
        <w:rPr>
          <w:rFonts w:ascii="Times New Roman" w:eastAsiaTheme="minorHAnsi" w:hAnsi="Times New Roman"/>
          <w:b/>
          <w:sz w:val="24"/>
          <w:szCs w:val="24"/>
          <w:lang w:eastAsia="en-US"/>
        </w:rPr>
        <w:t xml:space="preserve">, </w:t>
      </w:r>
      <w:r w:rsidRPr="00AA49D1">
        <w:rPr>
          <w:rFonts w:ascii="Times New Roman" w:eastAsiaTheme="minorHAnsi" w:hAnsi="Times New Roman"/>
          <w:sz w:val="24"/>
          <w:szCs w:val="24"/>
          <w:lang w:eastAsia="en-US"/>
        </w:rPr>
        <w:t>нормативными правовыми актами, при предоставлении таких средств после представления документов, подтверждающих возникновение указанных обязательств, в порядке, установленном министерством финансов Амурской области.</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Непонятен механизм реализации данной нормы.</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Кроме того, контрольно-счетная палата полагает целесообразным положения  частей 2, 3 статьи 9 законопроекта  п</w:t>
      </w:r>
      <w:r w:rsidR="00A33CE9">
        <w:rPr>
          <w:rFonts w:ascii="Times New Roman" w:eastAsiaTheme="minorHAnsi" w:hAnsi="Times New Roman"/>
          <w:sz w:val="24"/>
          <w:szCs w:val="24"/>
          <w:lang w:eastAsia="en-US"/>
        </w:rPr>
        <w:t>редусмотреть отдельной статьей.</w:t>
      </w:r>
    </w:p>
    <w:p w:rsidR="00AA49D1" w:rsidRPr="00AA49D1" w:rsidRDefault="00AA49D1" w:rsidP="00AA49D1">
      <w:pPr>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Следует отметить, что проектом федерального закона «О федеральном бюджете на 2015 год и на плановый период 2016 и 2017 годов» аналогичные нормы выделены в отдельную статью – «Статья 5. Особенности использования в 2015 году средств, получаемых отдельными юридическими лицами из федерального бюджета». Проектом федерального закона предусмотрена также отдельная статья – «Статья 21. Особенности исполнения федерального бюджета в 2015 году».</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Контрольно-счетная палата отмечает, что частью 1 статьи 5 проекта федерального закона «О федеральном бюджете на 2015 год и на плановый период 2016 и 2017 годов» определено, что в 2015 году бюджетные инвестиции  юридическим лицам, не являющимся федеральными государственными учреждениями и федеральными государственными унитарными предприятиями, взносы в уставные капиталы юридических лиц, включенные в утверждаемый Правительством Российской Федерации перечень, подлежат перечислению на отдельные счета, открытые территориальным органам Федерального казначейства в учреждениях Центрального банка Российской Федерации.</w:t>
      </w:r>
    </w:p>
    <w:p w:rsidR="00AA49D1" w:rsidRPr="00AA49D1" w:rsidRDefault="00AA49D1" w:rsidP="00AA49D1">
      <w:pPr>
        <w:widowControl w:val="0"/>
        <w:spacing w:after="0" w:line="240" w:lineRule="auto"/>
        <w:ind w:firstLine="709"/>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При наличии в законопроекте об областном бюджете на 2015 год и плановый период 2016 и 2017 годов расходов на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увеличение уставных капиталов в объеме 160000,0 тыс.</w:t>
      </w:r>
      <w:r w:rsidR="00CD09D2">
        <w:rPr>
          <w:rFonts w:ascii="Times New Roman" w:eastAsiaTheme="minorHAnsi" w:hAnsi="Times New Roman"/>
          <w:sz w:val="24"/>
          <w:szCs w:val="24"/>
          <w:lang w:eastAsia="en-US"/>
        </w:rPr>
        <w:t xml:space="preserve"> </w:t>
      </w:r>
      <w:r w:rsidRPr="00AA49D1">
        <w:rPr>
          <w:rFonts w:ascii="Times New Roman" w:eastAsiaTheme="minorHAnsi" w:hAnsi="Times New Roman"/>
          <w:sz w:val="24"/>
          <w:szCs w:val="24"/>
          <w:lang w:eastAsia="en-US"/>
        </w:rPr>
        <w:t>рублей в 2015 году, аналогичная норма законопроектом не предусмотрена.</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Кроме того, в данной статье после слов «государственным унитарным предприятиям» дополнить словом «области».</w:t>
      </w:r>
    </w:p>
    <w:p w:rsidR="00AA49D1" w:rsidRPr="00F07AB8" w:rsidRDefault="00AA49D1" w:rsidP="00F07AB8">
      <w:pPr>
        <w:pStyle w:val="ad"/>
        <w:numPr>
          <w:ilvl w:val="0"/>
          <w:numId w:val="35"/>
        </w:numPr>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Частью 5 статьи 11 законопроекта установлено, что распределение субсидий местным бюджетам утверждается Правительством области. В соответствии с пунктом 4 статьи 139 Бюджетного кодекса Российской Федерации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Основными направлениями бюджетной политики на 2015 год и плановый период 2016 и 2017 годов поставлена задача упорядочения механизма софинансирования расходов муниципальных образований из бюджетов субъектов Российской Федерации (формирование единых критериев к определению уровней софинансирования расходных обязательств; повышение эффективности и прозрачности; расширение бюджетной самостояте</w:t>
      </w:r>
      <w:r w:rsidR="00C023A4">
        <w:rPr>
          <w:rFonts w:ascii="Times New Roman" w:eastAsiaTheme="minorHAnsi" w:hAnsi="Times New Roman"/>
          <w:sz w:val="24"/>
          <w:szCs w:val="24"/>
          <w:lang w:eastAsia="en-US"/>
        </w:rPr>
        <w:t>льности и снижения отчетности).</w:t>
      </w:r>
    </w:p>
    <w:p w:rsidR="00AA49D1" w:rsidRPr="00AA49D1" w:rsidRDefault="00093A18" w:rsidP="00AA49D1">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AA49D1">
        <w:rPr>
          <w:rFonts w:ascii="Times New Roman" w:eastAsiaTheme="minorHAnsi" w:hAnsi="Times New Roman"/>
          <w:sz w:val="24"/>
          <w:szCs w:val="24"/>
          <w:lang w:eastAsia="en-US"/>
        </w:rPr>
        <w:t>риоритетной задачей в сфере межбюджетных отношений о</w:t>
      </w:r>
      <w:r>
        <w:rPr>
          <w:rFonts w:ascii="Times New Roman" w:eastAsiaTheme="minorHAnsi" w:hAnsi="Times New Roman"/>
          <w:sz w:val="24"/>
          <w:szCs w:val="24"/>
          <w:lang w:eastAsia="en-US"/>
        </w:rPr>
        <w:t>пределено</w:t>
      </w:r>
      <w:r w:rsidRPr="00AA49D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о</w:t>
      </w:r>
      <w:r w:rsidR="00AA49D1" w:rsidRPr="00AA49D1">
        <w:rPr>
          <w:rFonts w:ascii="Times New Roman" w:eastAsiaTheme="minorHAnsi" w:hAnsi="Times New Roman"/>
          <w:sz w:val="24"/>
          <w:szCs w:val="24"/>
          <w:lang w:eastAsia="en-US"/>
        </w:rPr>
        <w:t xml:space="preserve">существление перехода на предоставление консолидированных субсидий в рамках государственных </w:t>
      </w:r>
      <w:r w:rsidR="00CD09D2">
        <w:rPr>
          <w:rFonts w:ascii="Times New Roman" w:eastAsiaTheme="minorHAnsi" w:hAnsi="Times New Roman"/>
          <w:sz w:val="24"/>
          <w:szCs w:val="24"/>
          <w:lang w:eastAsia="en-US"/>
        </w:rPr>
        <w:t>программ области на период 2015</w:t>
      </w:r>
      <w:r w:rsidR="00AA49D1" w:rsidRPr="00AA49D1">
        <w:rPr>
          <w:rFonts w:ascii="Times New Roman" w:eastAsiaTheme="minorHAnsi" w:hAnsi="Times New Roman"/>
          <w:sz w:val="24"/>
          <w:szCs w:val="24"/>
          <w:lang w:eastAsia="en-US"/>
        </w:rPr>
        <w:t>–2017 годов</w:t>
      </w:r>
      <w:r>
        <w:rPr>
          <w:rFonts w:ascii="Times New Roman" w:eastAsiaTheme="minorHAnsi" w:hAnsi="Times New Roman"/>
          <w:sz w:val="24"/>
          <w:szCs w:val="24"/>
          <w:lang w:eastAsia="en-US"/>
        </w:rPr>
        <w:t xml:space="preserve">, что </w:t>
      </w:r>
      <w:r w:rsidR="00AA49D1" w:rsidRPr="00AA49D1">
        <w:rPr>
          <w:rFonts w:ascii="Times New Roman" w:eastAsiaTheme="minorHAnsi" w:hAnsi="Times New Roman"/>
          <w:sz w:val="24"/>
          <w:szCs w:val="24"/>
          <w:lang w:eastAsia="en-US"/>
        </w:rPr>
        <w:t xml:space="preserve">позволит минимизировать вмешательство </w:t>
      </w:r>
      <w:r w:rsidR="00AA49D1" w:rsidRPr="00AA49D1">
        <w:rPr>
          <w:rFonts w:ascii="Times New Roman" w:eastAsiaTheme="minorHAnsi" w:hAnsi="Times New Roman"/>
          <w:sz w:val="24"/>
          <w:szCs w:val="24"/>
          <w:lang w:eastAsia="en-US"/>
        </w:rPr>
        <w:lastRenderedPageBreak/>
        <w:t>органов власти субъекта Российской Федерации в компетенцию органов местного самоуправления при существенном расширении возможностей и ответственности последних за достижение конечных результатов испол</w:t>
      </w:r>
      <w:r w:rsidR="00C023A4">
        <w:rPr>
          <w:rFonts w:ascii="Times New Roman" w:eastAsiaTheme="minorHAnsi" w:hAnsi="Times New Roman"/>
          <w:sz w:val="24"/>
          <w:szCs w:val="24"/>
          <w:lang w:eastAsia="en-US"/>
        </w:rPr>
        <w:t>ьзования субсидий.</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 xml:space="preserve">Согласно </w:t>
      </w:r>
      <w:r w:rsidR="00003CA3">
        <w:rPr>
          <w:rFonts w:ascii="Times New Roman" w:eastAsiaTheme="minorHAnsi" w:hAnsi="Times New Roman"/>
          <w:sz w:val="24"/>
          <w:szCs w:val="24"/>
          <w:lang w:eastAsia="en-US"/>
        </w:rPr>
        <w:t>Бюджетному п</w:t>
      </w:r>
      <w:r w:rsidRPr="00AA49D1">
        <w:rPr>
          <w:rFonts w:ascii="Times New Roman" w:eastAsiaTheme="minorHAnsi" w:hAnsi="Times New Roman"/>
          <w:sz w:val="24"/>
          <w:szCs w:val="24"/>
          <w:lang w:eastAsia="en-US"/>
        </w:rPr>
        <w:t xml:space="preserve">осланию Президента Российской Федерации </w:t>
      </w:r>
      <w:r w:rsidR="00003CA3">
        <w:rPr>
          <w:rFonts w:ascii="Times New Roman" w:eastAsiaTheme="minorHAnsi" w:hAnsi="Times New Roman"/>
          <w:sz w:val="24"/>
          <w:szCs w:val="24"/>
          <w:lang w:eastAsia="en-US"/>
        </w:rPr>
        <w:t xml:space="preserve">Федеральному Собранию от 13.06.2013 </w:t>
      </w:r>
      <w:r w:rsidRPr="00AA49D1">
        <w:rPr>
          <w:rFonts w:ascii="Times New Roman" w:eastAsiaTheme="minorHAnsi" w:hAnsi="Times New Roman"/>
          <w:sz w:val="24"/>
          <w:szCs w:val="24"/>
          <w:lang w:eastAsia="en-US"/>
        </w:rPr>
        <w:t xml:space="preserve">«О бюджетной политике в 2014-2016 годах» </w:t>
      </w:r>
      <w:r w:rsidR="00003CA3">
        <w:rPr>
          <w:rFonts w:ascii="Times New Roman" w:eastAsiaTheme="minorHAnsi" w:hAnsi="Times New Roman"/>
          <w:sz w:val="24"/>
          <w:szCs w:val="24"/>
          <w:lang w:eastAsia="en-US"/>
        </w:rPr>
        <w:t xml:space="preserve">задачами в области межбюджетных отношений определены укрупнение субсидий и предоставление их в </w:t>
      </w:r>
      <w:r w:rsidR="00003CA3" w:rsidRPr="00AA49D1">
        <w:rPr>
          <w:rFonts w:ascii="Times New Roman" w:eastAsiaTheme="minorHAnsi" w:hAnsi="Times New Roman"/>
          <w:sz w:val="24"/>
          <w:szCs w:val="24"/>
          <w:lang w:eastAsia="en-US"/>
        </w:rPr>
        <w:t>консолидированной форме</w:t>
      </w:r>
      <w:r w:rsidR="00D322BA">
        <w:rPr>
          <w:rFonts w:ascii="Times New Roman" w:eastAsiaTheme="minorHAnsi" w:hAnsi="Times New Roman"/>
          <w:sz w:val="24"/>
          <w:szCs w:val="24"/>
          <w:lang w:eastAsia="en-US"/>
        </w:rPr>
        <w:t xml:space="preserve">, а также переход </w:t>
      </w:r>
      <w:r w:rsidRPr="00AA49D1">
        <w:rPr>
          <w:rFonts w:ascii="Times New Roman" w:eastAsiaTheme="minorHAnsi" w:hAnsi="Times New Roman"/>
          <w:sz w:val="24"/>
          <w:szCs w:val="24"/>
          <w:lang w:eastAsia="en-US"/>
        </w:rPr>
        <w:t xml:space="preserve">к преимущественному распределению субсидий на основании федерального </w:t>
      </w:r>
      <w:hyperlink r:id="rId43" w:history="1">
        <w:r w:rsidRPr="00AA49D1">
          <w:rPr>
            <w:rFonts w:ascii="Times New Roman" w:eastAsiaTheme="minorHAnsi" w:hAnsi="Times New Roman"/>
            <w:sz w:val="24"/>
            <w:szCs w:val="24"/>
            <w:lang w:eastAsia="en-US"/>
          </w:rPr>
          <w:t>закона</w:t>
        </w:r>
      </w:hyperlink>
      <w:r w:rsidRPr="00AA49D1">
        <w:rPr>
          <w:rFonts w:ascii="Times New Roman" w:eastAsiaTheme="minorHAnsi" w:hAnsi="Times New Roman"/>
          <w:sz w:val="24"/>
          <w:szCs w:val="24"/>
          <w:lang w:eastAsia="en-US"/>
        </w:rPr>
        <w:t xml:space="preserve"> о федеральном бюджете, а не на основании актов Пра</w:t>
      </w:r>
      <w:r w:rsidR="00D322BA">
        <w:rPr>
          <w:rFonts w:ascii="Times New Roman" w:eastAsiaTheme="minorHAnsi" w:hAnsi="Times New Roman"/>
          <w:sz w:val="24"/>
          <w:szCs w:val="24"/>
          <w:lang w:eastAsia="en-US"/>
        </w:rPr>
        <w:t>вительства Российской Федерации.</w:t>
      </w:r>
    </w:p>
    <w:p w:rsidR="00AA49D1" w:rsidRPr="00AA49D1" w:rsidRDefault="00AA49D1" w:rsidP="00AA49D1">
      <w:pPr>
        <w:spacing w:after="0" w:line="240" w:lineRule="auto"/>
        <w:ind w:firstLine="709"/>
        <w:contextualSpacing/>
        <w:jc w:val="both"/>
        <w:rPr>
          <w:rFonts w:ascii="Times New Roman" w:eastAsiaTheme="minorHAnsi" w:hAnsi="Times New Roman"/>
          <w:sz w:val="24"/>
          <w:szCs w:val="24"/>
          <w:lang w:eastAsia="en-US"/>
        </w:rPr>
      </w:pPr>
      <w:r w:rsidRPr="00AA49D1">
        <w:rPr>
          <w:rFonts w:ascii="Times New Roman" w:eastAsiaTheme="minorHAnsi" w:hAnsi="Times New Roman"/>
          <w:sz w:val="24"/>
          <w:szCs w:val="24"/>
          <w:lang w:eastAsia="en-US"/>
        </w:rPr>
        <w:t xml:space="preserve">В соответствии с вышеизложенным, по мнению контрольно-счетной палаты Амурской области, Правительству Амурской области следует </w:t>
      </w:r>
      <w:r w:rsidRPr="00AA49D1">
        <w:rPr>
          <w:rFonts w:ascii="Times New Roman" w:eastAsiaTheme="minorHAnsi" w:hAnsi="Times New Roman"/>
          <w:bCs/>
          <w:sz w:val="24"/>
          <w:szCs w:val="24"/>
          <w:lang w:eastAsia="en-US"/>
        </w:rPr>
        <w:t xml:space="preserve">активизировать деятельность по укрупнению субсидий, предоставлять их в консолидированной форме, </w:t>
      </w:r>
      <w:r w:rsidRPr="00AA49D1">
        <w:rPr>
          <w:rFonts w:ascii="Times New Roman" w:eastAsiaTheme="minorHAnsi" w:hAnsi="Times New Roman"/>
          <w:sz w:val="24"/>
          <w:szCs w:val="24"/>
          <w:lang w:eastAsia="en-US"/>
        </w:rPr>
        <w:t>переходить к преимущественному их распределению на основании закона об областном бюджете.</w:t>
      </w:r>
    </w:p>
    <w:p w:rsidR="00AA49D1" w:rsidRPr="00F07AB8" w:rsidRDefault="00AA49D1" w:rsidP="00F07AB8">
      <w:pPr>
        <w:pStyle w:val="ad"/>
        <w:numPr>
          <w:ilvl w:val="0"/>
          <w:numId w:val="35"/>
        </w:numPr>
        <w:autoSpaceDE w:val="0"/>
        <w:autoSpaceDN w:val="0"/>
        <w:adjustRightInd w:val="0"/>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 xml:space="preserve">Текстовая редакция абзаца 1 части 1 статьи 13 законопроекта не в полной мере соответствует положениям пункта 1 статьи 78 Бюджетного кодекса Российской Федерации (в редакции Федерального закона от 22.10.2014 № 311-ФЗ), которым установлено,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w:t>
      </w:r>
      <w:r w:rsidRPr="00F07AB8">
        <w:rPr>
          <w:rFonts w:ascii="Times New Roman" w:eastAsiaTheme="minorHAnsi" w:hAnsi="Times New Roman"/>
          <w:b/>
          <w:i/>
          <w:sz w:val="24"/>
          <w:szCs w:val="24"/>
        </w:rPr>
        <w:t>на безвозмездной и безвозвратной основе</w:t>
      </w:r>
      <w:r w:rsidRPr="00F07AB8">
        <w:rPr>
          <w:rFonts w:ascii="Times New Roman" w:eastAsiaTheme="minorHAnsi" w:hAnsi="Times New Roman"/>
          <w:sz w:val="24"/>
          <w:szCs w:val="24"/>
        </w:rPr>
        <w:t xml:space="preserve">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F07AB8">
        <w:rPr>
          <w:rFonts w:ascii="Times New Roman" w:eastAsiaTheme="minorHAnsi" w:hAnsi="Times New Roman"/>
          <w:b/>
          <w:i/>
          <w:sz w:val="24"/>
          <w:szCs w:val="24"/>
        </w:rPr>
        <w:t>винодельческих продуктов, произведенных из выращенного на территории Российской Федерации винограда</w:t>
      </w:r>
      <w:r w:rsidRPr="00F07AB8">
        <w:rPr>
          <w:rFonts w:ascii="Times New Roman" w:eastAsiaTheme="minorHAnsi" w:hAnsi="Times New Roman"/>
          <w:sz w:val="24"/>
          <w:szCs w:val="24"/>
        </w:rPr>
        <w:t>), выполнением работ, оказанием услуг.</w:t>
      </w:r>
    </w:p>
    <w:p w:rsidR="00AA49D1" w:rsidRPr="00F07AB8" w:rsidRDefault="00AA49D1" w:rsidP="00F07AB8">
      <w:pPr>
        <w:pStyle w:val="ad"/>
        <w:numPr>
          <w:ilvl w:val="0"/>
          <w:numId w:val="35"/>
        </w:numPr>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 xml:space="preserve">Пунктом 28 части 1 статьи 13 проекта закона предусмотрено предоставление новой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связанных </w:t>
      </w:r>
      <w:r w:rsidRPr="00F07AB8">
        <w:rPr>
          <w:rFonts w:ascii="Times New Roman" w:eastAsiaTheme="minorHAnsi" w:hAnsi="Times New Roman"/>
          <w:b/>
          <w:i/>
          <w:sz w:val="24"/>
          <w:szCs w:val="24"/>
        </w:rPr>
        <w:t>со строительство</w:t>
      </w:r>
      <w:r w:rsidR="00CD09D2" w:rsidRPr="00F07AB8">
        <w:rPr>
          <w:rFonts w:ascii="Times New Roman" w:eastAsiaTheme="minorHAnsi" w:hAnsi="Times New Roman"/>
          <w:b/>
          <w:i/>
          <w:sz w:val="24"/>
          <w:szCs w:val="24"/>
        </w:rPr>
        <w:t>м детских домов семейного типа.</w:t>
      </w:r>
      <w:r w:rsidRPr="00F07AB8">
        <w:rPr>
          <w:rFonts w:ascii="Times New Roman" w:eastAsiaTheme="minorHAnsi" w:hAnsi="Times New Roman"/>
          <w:b/>
          <w:i/>
          <w:sz w:val="24"/>
          <w:szCs w:val="24"/>
        </w:rPr>
        <w:t xml:space="preserve"> </w:t>
      </w:r>
      <w:r w:rsidRPr="00F07AB8">
        <w:rPr>
          <w:rFonts w:ascii="Times New Roman" w:eastAsiaTheme="minorHAnsi" w:hAnsi="Times New Roman"/>
          <w:sz w:val="24"/>
          <w:szCs w:val="24"/>
        </w:rPr>
        <w:t xml:space="preserve">Указанная норма не соответствует понятию, используемому в подпрограмме «Семья детям» государственной программы Амурской области «Обеспечение доступным и качественным жильем населения Амурской области на 2014–2020 годы», утвержденной постановлением Правительства Амурской области от 25.09.2013 № 446 (в редакции постановления Правительства Амурской области от 25.09.2014 № 582). В рамках подпрограммы «Семья детям» предполагается реализация мероприятия «Капитальные вложения в объекты государственной собственности», в соответствии с которым планируется </w:t>
      </w:r>
      <w:r w:rsidRPr="00F07AB8">
        <w:rPr>
          <w:rFonts w:ascii="Times New Roman" w:eastAsiaTheme="minorHAnsi" w:hAnsi="Times New Roman"/>
          <w:b/>
          <w:i/>
          <w:sz w:val="24"/>
          <w:szCs w:val="24"/>
        </w:rPr>
        <w:t>строительство жилых домов для предоставления семьям, готовым взять на воспитание не менее 5 детей-сирот и (или) детей, оставшихся без попечения родителей</w:t>
      </w:r>
      <w:r w:rsidRPr="00F07AB8">
        <w:rPr>
          <w:rFonts w:ascii="Times New Roman" w:eastAsiaTheme="minorHAnsi" w:hAnsi="Times New Roman"/>
          <w:sz w:val="24"/>
          <w:szCs w:val="24"/>
        </w:rPr>
        <w:t>.</w:t>
      </w:r>
    </w:p>
    <w:p w:rsidR="00AA49D1" w:rsidRPr="00F07AB8" w:rsidRDefault="00AA49D1" w:rsidP="00F07AB8">
      <w:pPr>
        <w:pStyle w:val="ad"/>
        <w:numPr>
          <w:ilvl w:val="0"/>
          <w:numId w:val="35"/>
        </w:numPr>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 xml:space="preserve">В законопроекте нарушена нумерация статей. После статьи 13 следует </w:t>
      </w:r>
      <w:r w:rsidR="00822BAE">
        <w:rPr>
          <w:rFonts w:ascii="Times New Roman" w:eastAsiaTheme="minorHAnsi" w:hAnsi="Times New Roman"/>
          <w:sz w:val="24"/>
          <w:szCs w:val="24"/>
        </w:rPr>
        <w:br/>
      </w:r>
      <w:r w:rsidRPr="00F07AB8">
        <w:rPr>
          <w:rFonts w:ascii="Times New Roman" w:eastAsiaTheme="minorHAnsi" w:hAnsi="Times New Roman"/>
          <w:sz w:val="24"/>
          <w:szCs w:val="24"/>
        </w:rPr>
        <w:t>статья 15.</w:t>
      </w:r>
    </w:p>
    <w:p w:rsidR="00AA49D1" w:rsidRPr="00F07AB8" w:rsidRDefault="00AA49D1" w:rsidP="00F07AB8">
      <w:pPr>
        <w:pStyle w:val="ad"/>
        <w:numPr>
          <w:ilvl w:val="0"/>
          <w:numId w:val="35"/>
        </w:numPr>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В соответствии с Предложениями о разработке нормативных правовых актов, принятие которых необходимо для реализации Закона Амурской области «Об областном бюджете на 2015 год и плановый период 2016 и 2017 годов», являющимися Приложением к законопроекту, принятие нормативных правовых актов области не требуется. Следует отметить, что для реализации данного закона необходимо принятие нормативных правовых актов Правительства Амурской области (постановлений, распоряжений) об утверждении распределения различных субсидий местным бюджетам, об утверждении правил, порядков предоставления различных субсидий и других.</w:t>
      </w:r>
    </w:p>
    <w:p w:rsidR="00AA49D1" w:rsidRPr="00F07AB8" w:rsidRDefault="00AA49D1" w:rsidP="00F07AB8">
      <w:pPr>
        <w:pStyle w:val="ad"/>
        <w:numPr>
          <w:ilvl w:val="0"/>
          <w:numId w:val="35"/>
        </w:numPr>
        <w:spacing w:after="0" w:line="240" w:lineRule="auto"/>
        <w:ind w:left="0" w:firstLine="709"/>
        <w:jc w:val="both"/>
        <w:rPr>
          <w:rFonts w:ascii="Times New Roman" w:eastAsiaTheme="minorHAnsi" w:hAnsi="Times New Roman"/>
          <w:sz w:val="24"/>
          <w:szCs w:val="24"/>
        </w:rPr>
      </w:pPr>
      <w:r w:rsidRPr="00F07AB8">
        <w:rPr>
          <w:rFonts w:ascii="Times New Roman" w:eastAsiaTheme="minorHAnsi" w:hAnsi="Times New Roman"/>
          <w:sz w:val="24"/>
          <w:szCs w:val="24"/>
        </w:rPr>
        <w:t xml:space="preserve">В соответствии с Перечнем законов и иных нормативных правовых актов, подлежащих отмене, изменению или дополнению в связи с принятием Закона Амурской области «Об областном бюджете на 2015 год и плановый период 2016 и 2017 годов», </w:t>
      </w:r>
      <w:r w:rsidRPr="00F07AB8">
        <w:rPr>
          <w:rFonts w:ascii="Times New Roman" w:eastAsiaTheme="minorHAnsi" w:hAnsi="Times New Roman"/>
          <w:sz w:val="24"/>
          <w:szCs w:val="24"/>
        </w:rPr>
        <w:lastRenderedPageBreak/>
        <w:t xml:space="preserve">являющимся Приложением к законопроекту, принятие и введение в действие проекта закона Амурской области «Об областном бюджете на 2015 год и плановый период 2016 и </w:t>
      </w:r>
      <w:r w:rsidR="00CD09D2" w:rsidRPr="00F07AB8">
        <w:rPr>
          <w:rFonts w:ascii="Times New Roman" w:eastAsiaTheme="minorHAnsi" w:hAnsi="Times New Roman"/>
          <w:sz w:val="24"/>
          <w:szCs w:val="24"/>
        </w:rPr>
        <w:br/>
      </w:r>
      <w:r w:rsidRPr="00F07AB8">
        <w:rPr>
          <w:rFonts w:ascii="Times New Roman" w:eastAsiaTheme="minorHAnsi" w:hAnsi="Times New Roman"/>
          <w:sz w:val="24"/>
          <w:szCs w:val="24"/>
        </w:rPr>
        <w:t xml:space="preserve">2017 годов» потребует внесения изменений в  Закон Амурской области от </w:t>
      </w:r>
      <w:smartTag w:uri="urn:schemas-microsoft-com:office:smarttags" w:element="date">
        <w:smartTagPr>
          <w:attr w:name="ls" w:val="trans"/>
          <w:attr w:name="Month" w:val="07"/>
          <w:attr w:name="Day" w:val="08"/>
          <w:attr w:name="Year" w:val="2013"/>
        </w:smartTagPr>
        <w:r w:rsidRPr="00F07AB8">
          <w:rPr>
            <w:rFonts w:ascii="Times New Roman" w:eastAsiaTheme="minorHAnsi" w:hAnsi="Times New Roman"/>
            <w:sz w:val="24"/>
            <w:szCs w:val="24"/>
          </w:rPr>
          <w:t>08.07.2013</w:t>
        </w:r>
      </w:smartTag>
      <w:r w:rsidRPr="00F07AB8">
        <w:rPr>
          <w:rFonts w:ascii="Times New Roman" w:eastAsiaTheme="minorHAnsi" w:hAnsi="Times New Roman"/>
          <w:sz w:val="24"/>
          <w:szCs w:val="24"/>
        </w:rPr>
        <w:t xml:space="preserve"> </w:t>
      </w:r>
      <w:r w:rsidRPr="00F07AB8">
        <w:rPr>
          <w:rFonts w:ascii="Times New Roman" w:eastAsiaTheme="minorHAnsi" w:hAnsi="Times New Roman"/>
          <w:sz w:val="24"/>
          <w:szCs w:val="24"/>
        </w:rPr>
        <w:br/>
        <w:t>№ 198-ОЗ «О поддержке теплоснабжающих организаций на территории Амурской области» в части приостановлени</w:t>
      </w:r>
      <w:r w:rsidRPr="00F07AB8">
        <w:rPr>
          <w:rFonts w:ascii="Times New Roman" w:eastAsiaTheme="minorHAnsi" w:hAnsi="Times New Roman"/>
          <w:b/>
          <w:sz w:val="24"/>
          <w:szCs w:val="24"/>
        </w:rPr>
        <w:t>е</w:t>
      </w:r>
      <w:r w:rsidRPr="00F07AB8">
        <w:rPr>
          <w:rFonts w:ascii="Times New Roman" w:eastAsiaTheme="minorHAnsi" w:hAnsi="Times New Roman"/>
          <w:sz w:val="24"/>
          <w:szCs w:val="24"/>
        </w:rPr>
        <w:t xml:space="preserve"> действия </w:t>
      </w:r>
      <w:r w:rsidRPr="00F07AB8">
        <w:rPr>
          <w:rFonts w:ascii="Times New Roman" w:eastAsiaTheme="minorHAnsi" w:hAnsi="Times New Roman"/>
          <w:b/>
          <w:i/>
          <w:sz w:val="24"/>
          <w:szCs w:val="24"/>
        </w:rPr>
        <w:t>подпункта 2 пункта 1</w:t>
      </w:r>
      <w:r w:rsidRPr="00F07AB8">
        <w:rPr>
          <w:rFonts w:ascii="Times New Roman" w:eastAsiaTheme="minorHAnsi" w:hAnsi="Times New Roman"/>
          <w:sz w:val="24"/>
          <w:szCs w:val="24"/>
        </w:rPr>
        <w:t xml:space="preserve"> статьи 2.</w:t>
      </w:r>
      <w:r w:rsidR="00CD09D2" w:rsidRPr="00F07AB8">
        <w:rPr>
          <w:rFonts w:ascii="Times New Roman" w:eastAsiaTheme="minorHAnsi" w:hAnsi="Times New Roman"/>
          <w:sz w:val="24"/>
          <w:szCs w:val="24"/>
        </w:rPr>
        <w:t xml:space="preserve"> </w:t>
      </w:r>
      <w:r w:rsidRPr="00F07AB8">
        <w:rPr>
          <w:rFonts w:ascii="Times New Roman" w:eastAsiaTheme="minorHAnsi" w:hAnsi="Times New Roman"/>
          <w:sz w:val="24"/>
          <w:szCs w:val="24"/>
        </w:rPr>
        <w:t xml:space="preserve">Согласно указанному Закону Амурской области речь идет о </w:t>
      </w:r>
      <w:r w:rsidRPr="00F07AB8">
        <w:rPr>
          <w:rFonts w:ascii="Times New Roman" w:eastAsiaTheme="minorHAnsi" w:hAnsi="Times New Roman"/>
          <w:b/>
          <w:i/>
          <w:sz w:val="24"/>
          <w:szCs w:val="24"/>
        </w:rPr>
        <w:t>пункте 2 части 1</w:t>
      </w:r>
      <w:r w:rsidR="00C023A4" w:rsidRPr="00F07AB8">
        <w:rPr>
          <w:rFonts w:ascii="Times New Roman" w:eastAsiaTheme="minorHAnsi" w:hAnsi="Times New Roman"/>
          <w:sz w:val="24"/>
          <w:szCs w:val="24"/>
        </w:rPr>
        <w:t xml:space="preserve"> статьи 2.</w:t>
      </w:r>
    </w:p>
    <w:p w:rsidR="00CD09D2" w:rsidRDefault="00CD09D2" w:rsidP="00AA49D1">
      <w:pPr>
        <w:spacing w:after="0" w:line="240" w:lineRule="auto"/>
        <w:ind w:firstLine="709"/>
        <w:jc w:val="both"/>
        <w:rPr>
          <w:rFonts w:ascii="Times New Roman" w:eastAsiaTheme="minorHAnsi" w:hAnsi="Times New Roman"/>
          <w:b/>
          <w:sz w:val="24"/>
          <w:szCs w:val="24"/>
          <w:lang w:eastAsia="en-US"/>
        </w:rPr>
      </w:pPr>
    </w:p>
    <w:p w:rsidR="00D322BA" w:rsidRPr="001A6362" w:rsidRDefault="00D322BA" w:rsidP="00D322BA">
      <w:pPr>
        <w:spacing w:after="0" w:line="240" w:lineRule="auto"/>
        <w:ind w:firstLine="680"/>
        <w:jc w:val="both"/>
        <w:outlineLvl w:val="0"/>
        <w:rPr>
          <w:rFonts w:ascii="Times New Roman" w:hAnsi="Times New Roman"/>
          <w:b/>
          <w:bCs/>
          <w:iCs/>
          <w:sz w:val="24"/>
          <w:szCs w:val="24"/>
        </w:rPr>
      </w:pPr>
      <w:r w:rsidRPr="00BA788F">
        <w:rPr>
          <w:rFonts w:ascii="Times New Roman" w:hAnsi="Times New Roman"/>
          <w:b/>
          <w:sz w:val="24"/>
          <w:szCs w:val="24"/>
        </w:rPr>
        <w:t xml:space="preserve">По результатам проведенной экспертизы проекта закона Амурской области </w:t>
      </w:r>
      <w:r w:rsidRPr="00BA788F">
        <w:rPr>
          <w:rFonts w:ascii="Times New Roman" w:hAnsi="Times New Roman"/>
          <w:b/>
          <w:sz w:val="24"/>
          <w:szCs w:val="24"/>
        </w:rPr>
        <w:br/>
        <w:t>«Об областном бюджете на 201</w:t>
      </w:r>
      <w:r>
        <w:rPr>
          <w:rFonts w:ascii="Times New Roman" w:hAnsi="Times New Roman"/>
          <w:b/>
          <w:sz w:val="24"/>
          <w:szCs w:val="24"/>
        </w:rPr>
        <w:t>5</w:t>
      </w:r>
      <w:r w:rsidRPr="00BA788F">
        <w:rPr>
          <w:rFonts w:ascii="Times New Roman" w:hAnsi="Times New Roman"/>
          <w:b/>
          <w:sz w:val="24"/>
          <w:szCs w:val="24"/>
        </w:rPr>
        <w:t xml:space="preserve"> год </w:t>
      </w:r>
      <w:r w:rsidRPr="002F6C91">
        <w:rPr>
          <w:rFonts w:ascii="Times New Roman" w:hAnsi="Times New Roman"/>
          <w:b/>
          <w:sz w:val="24"/>
          <w:szCs w:val="24"/>
        </w:rPr>
        <w:t>и плановый период 201</w:t>
      </w:r>
      <w:r>
        <w:rPr>
          <w:rFonts w:ascii="Times New Roman" w:hAnsi="Times New Roman"/>
          <w:b/>
          <w:sz w:val="24"/>
          <w:szCs w:val="24"/>
        </w:rPr>
        <w:t>6</w:t>
      </w:r>
      <w:r w:rsidRPr="002F6C91">
        <w:rPr>
          <w:rFonts w:ascii="Times New Roman" w:hAnsi="Times New Roman"/>
          <w:b/>
          <w:sz w:val="24"/>
          <w:szCs w:val="24"/>
        </w:rPr>
        <w:t xml:space="preserve"> и 201</w:t>
      </w:r>
      <w:r>
        <w:rPr>
          <w:rFonts w:ascii="Times New Roman" w:hAnsi="Times New Roman"/>
          <w:b/>
          <w:sz w:val="24"/>
          <w:szCs w:val="24"/>
        </w:rPr>
        <w:t>7</w:t>
      </w:r>
      <w:r w:rsidRPr="002F6C91">
        <w:rPr>
          <w:rFonts w:ascii="Times New Roman" w:hAnsi="Times New Roman"/>
          <w:b/>
          <w:sz w:val="24"/>
          <w:szCs w:val="24"/>
        </w:rPr>
        <w:t xml:space="preserve"> годов» контрольно-счетная палата Амурской области предлагает </w:t>
      </w:r>
      <w:r w:rsidRPr="00130271">
        <w:rPr>
          <w:rFonts w:ascii="Times New Roman" w:hAnsi="Times New Roman"/>
          <w:b/>
          <w:sz w:val="24"/>
          <w:szCs w:val="24"/>
        </w:rPr>
        <w:t>Правительству Амурской об</w:t>
      </w:r>
      <w:r w:rsidR="00130271">
        <w:rPr>
          <w:rFonts w:ascii="Times New Roman" w:hAnsi="Times New Roman"/>
          <w:b/>
          <w:sz w:val="24"/>
          <w:szCs w:val="24"/>
        </w:rPr>
        <w:t>ласти:</w:t>
      </w:r>
    </w:p>
    <w:p w:rsidR="00D322BA" w:rsidRDefault="00D322BA" w:rsidP="00D322BA">
      <w:pPr>
        <w:spacing w:after="0" w:line="240" w:lineRule="auto"/>
        <w:ind w:firstLine="680"/>
        <w:jc w:val="both"/>
        <w:outlineLvl w:val="0"/>
        <w:rPr>
          <w:rFonts w:ascii="Times New Roman" w:hAnsi="Times New Roman"/>
          <w:b/>
          <w:sz w:val="24"/>
          <w:szCs w:val="24"/>
        </w:rPr>
      </w:pPr>
      <w:r>
        <w:rPr>
          <w:rFonts w:ascii="Times New Roman" w:hAnsi="Times New Roman"/>
          <w:b/>
          <w:sz w:val="24"/>
          <w:szCs w:val="24"/>
        </w:rPr>
        <w:t xml:space="preserve">При рассмотрении </w:t>
      </w:r>
      <w:r w:rsidR="00130271">
        <w:rPr>
          <w:rFonts w:ascii="Times New Roman" w:hAnsi="Times New Roman"/>
          <w:b/>
          <w:sz w:val="24"/>
          <w:szCs w:val="24"/>
        </w:rPr>
        <w:t xml:space="preserve">законопроекта </w:t>
      </w:r>
      <w:r>
        <w:rPr>
          <w:rFonts w:ascii="Times New Roman" w:hAnsi="Times New Roman"/>
          <w:b/>
          <w:sz w:val="24"/>
          <w:szCs w:val="24"/>
        </w:rPr>
        <w:t>в первом чтении</w:t>
      </w:r>
      <w:r w:rsidR="00A244C8">
        <w:rPr>
          <w:rFonts w:ascii="Times New Roman" w:hAnsi="Times New Roman"/>
          <w:b/>
          <w:sz w:val="24"/>
          <w:szCs w:val="24"/>
        </w:rPr>
        <w:t>:</w:t>
      </w:r>
    </w:p>
    <w:p w:rsidR="00D322BA" w:rsidRDefault="00130271" w:rsidP="00A244C8">
      <w:pPr>
        <w:pStyle w:val="ad"/>
        <w:widowControl w:val="0"/>
        <w:tabs>
          <w:tab w:val="left" w:pos="426"/>
          <w:tab w:val="left" w:pos="709"/>
          <w:tab w:val="left" w:pos="851"/>
          <w:tab w:val="left" w:pos="993"/>
          <w:tab w:val="left" w:pos="1134"/>
          <w:tab w:val="left" w:pos="128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Внести изменения в </w:t>
      </w:r>
      <w:r w:rsidRPr="00AA49D1">
        <w:rPr>
          <w:rFonts w:ascii="Times New Roman" w:eastAsiaTheme="minorHAnsi" w:hAnsi="Times New Roman"/>
          <w:sz w:val="24"/>
          <w:szCs w:val="24"/>
        </w:rPr>
        <w:t xml:space="preserve">пункт </w:t>
      </w:r>
      <w:r>
        <w:rPr>
          <w:rFonts w:ascii="Times New Roman" w:eastAsiaTheme="minorHAnsi" w:hAnsi="Times New Roman"/>
          <w:sz w:val="24"/>
          <w:szCs w:val="24"/>
        </w:rPr>
        <w:t>1</w:t>
      </w:r>
      <w:r w:rsidRPr="00AA49D1">
        <w:rPr>
          <w:rFonts w:ascii="Times New Roman" w:eastAsiaTheme="minorHAnsi" w:hAnsi="Times New Roman"/>
          <w:sz w:val="24"/>
          <w:szCs w:val="24"/>
        </w:rPr>
        <w:t xml:space="preserve"> части 2 статьи 1 законопроекта</w:t>
      </w:r>
      <w:r>
        <w:rPr>
          <w:rFonts w:ascii="Times New Roman" w:eastAsiaTheme="minorHAnsi" w:hAnsi="Times New Roman"/>
          <w:sz w:val="24"/>
          <w:szCs w:val="24"/>
        </w:rPr>
        <w:t xml:space="preserve"> в целях о</w:t>
      </w:r>
      <w:r w:rsidR="00D322BA" w:rsidRPr="00485ADE">
        <w:rPr>
          <w:rFonts w:ascii="Times New Roman" w:hAnsi="Times New Roman"/>
          <w:sz w:val="24"/>
          <w:szCs w:val="24"/>
        </w:rPr>
        <w:t>беспеч</w:t>
      </w:r>
      <w:r>
        <w:rPr>
          <w:rFonts w:ascii="Times New Roman" w:hAnsi="Times New Roman"/>
          <w:sz w:val="24"/>
          <w:szCs w:val="24"/>
        </w:rPr>
        <w:t>ения</w:t>
      </w:r>
      <w:r w:rsidR="00D322BA" w:rsidRPr="00485ADE">
        <w:rPr>
          <w:rFonts w:ascii="Times New Roman" w:hAnsi="Times New Roman"/>
          <w:sz w:val="24"/>
          <w:szCs w:val="24"/>
        </w:rPr>
        <w:t xml:space="preserve"> тождественност</w:t>
      </w:r>
      <w:r>
        <w:rPr>
          <w:rFonts w:ascii="Times New Roman" w:hAnsi="Times New Roman"/>
          <w:sz w:val="24"/>
          <w:szCs w:val="24"/>
        </w:rPr>
        <w:t>и</w:t>
      </w:r>
      <w:r w:rsidR="00D322BA" w:rsidRPr="00485ADE">
        <w:rPr>
          <w:rFonts w:ascii="Times New Roman" w:hAnsi="Times New Roman"/>
          <w:sz w:val="24"/>
          <w:szCs w:val="24"/>
        </w:rPr>
        <w:t xml:space="preserve"> </w:t>
      </w:r>
      <w:r w:rsidR="00D322BA">
        <w:rPr>
          <w:rFonts w:ascii="Times New Roman" w:hAnsi="Times New Roman"/>
          <w:sz w:val="24"/>
          <w:szCs w:val="24"/>
        </w:rPr>
        <w:t>прогнозируемого общего объема доходов областного бюджета на 2016 год</w:t>
      </w:r>
      <w:r>
        <w:rPr>
          <w:rFonts w:ascii="Times New Roman" w:hAnsi="Times New Roman"/>
          <w:sz w:val="24"/>
          <w:szCs w:val="24"/>
        </w:rPr>
        <w:t xml:space="preserve"> с</w:t>
      </w:r>
      <w:r w:rsidR="00D322BA">
        <w:rPr>
          <w:rFonts w:ascii="Times New Roman" w:hAnsi="Times New Roman"/>
          <w:sz w:val="24"/>
          <w:szCs w:val="24"/>
        </w:rPr>
        <w:t xml:space="preserve"> прогнозируем</w:t>
      </w:r>
      <w:r>
        <w:rPr>
          <w:rFonts w:ascii="Times New Roman" w:hAnsi="Times New Roman"/>
          <w:sz w:val="24"/>
          <w:szCs w:val="24"/>
        </w:rPr>
        <w:t>ым объемом</w:t>
      </w:r>
      <w:r w:rsidR="00D322BA">
        <w:rPr>
          <w:rFonts w:ascii="Times New Roman" w:hAnsi="Times New Roman"/>
          <w:sz w:val="24"/>
          <w:szCs w:val="24"/>
        </w:rPr>
        <w:t xml:space="preserve"> налоговых и неналоговых доходов областного бюджета, безвозмездных поступлений на 2016 год</w:t>
      </w:r>
      <w:r w:rsidR="00A244C8">
        <w:rPr>
          <w:rFonts w:ascii="Times New Roman" w:hAnsi="Times New Roman"/>
          <w:sz w:val="24"/>
          <w:szCs w:val="24"/>
        </w:rPr>
        <w:t>.</w:t>
      </w:r>
    </w:p>
    <w:p w:rsidR="00D322BA" w:rsidRPr="002F6C91" w:rsidRDefault="00A244C8" w:rsidP="00D322BA">
      <w:pPr>
        <w:spacing w:after="0" w:line="240" w:lineRule="auto"/>
        <w:ind w:firstLine="680"/>
        <w:jc w:val="both"/>
        <w:outlineLvl w:val="0"/>
        <w:rPr>
          <w:rFonts w:ascii="Times New Roman" w:hAnsi="Times New Roman"/>
          <w:b/>
          <w:sz w:val="24"/>
          <w:szCs w:val="24"/>
        </w:rPr>
      </w:pPr>
      <w:r>
        <w:rPr>
          <w:rFonts w:ascii="Times New Roman" w:hAnsi="Times New Roman"/>
          <w:b/>
          <w:sz w:val="24"/>
          <w:szCs w:val="24"/>
        </w:rPr>
        <w:t xml:space="preserve">При </w:t>
      </w:r>
      <w:r w:rsidRPr="002F6C91">
        <w:rPr>
          <w:rFonts w:ascii="Times New Roman" w:hAnsi="Times New Roman"/>
          <w:b/>
          <w:sz w:val="24"/>
          <w:szCs w:val="24"/>
        </w:rPr>
        <w:t>подготовке законопроекта ко второму чтению</w:t>
      </w:r>
      <w:r w:rsidR="00D322BA" w:rsidRPr="002F6C91">
        <w:rPr>
          <w:rFonts w:ascii="Times New Roman" w:hAnsi="Times New Roman"/>
          <w:b/>
          <w:sz w:val="24"/>
          <w:szCs w:val="24"/>
        </w:rPr>
        <w:t>:</w:t>
      </w:r>
    </w:p>
    <w:p w:rsidR="005878C6" w:rsidRPr="005878C6" w:rsidRDefault="005878C6" w:rsidP="007E01C1">
      <w:pPr>
        <w:pStyle w:val="ad"/>
        <w:widowControl w:val="0"/>
        <w:numPr>
          <w:ilvl w:val="0"/>
          <w:numId w:val="19"/>
        </w:numPr>
        <w:tabs>
          <w:tab w:val="left" w:pos="540"/>
          <w:tab w:val="left" w:pos="993"/>
          <w:tab w:val="left" w:pos="1276"/>
        </w:tabs>
        <w:spacing w:after="0" w:line="240" w:lineRule="auto"/>
        <w:ind w:left="0" w:firstLine="709"/>
        <w:jc w:val="both"/>
        <w:rPr>
          <w:rFonts w:ascii="Times New Roman" w:hAnsi="Times New Roman"/>
          <w:bCs/>
          <w:iCs/>
          <w:sz w:val="24"/>
          <w:szCs w:val="24"/>
        </w:rPr>
      </w:pPr>
      <w:r w:rsidRPr="005878C6">
        <w:rPr>
          <w:rFonts w:ascii="Times New Roman" w:hAnsi="Times New Roman"/>
          <w:bCs/>
          <w:iCs/>
          <w:sz w:val="24"/>
          <w:szCs w:val="24"/>
        </w:rPr>
        <w:t>Объем расходов на строительство объекта «Малоэтажное быстровозводимое жилье, г. Тында, мкр. Таежный» на 2015 год, отраженный в приложении № 10 к законопроекту, уточнить в соответствии с объемами, предусмотренными в приложениях № 8 и № 9 законопроекта и государственной программой «Обеспечение доступным и качественным жильем населения Амурской области на 2014-2020 годы».</w:t>
      </w:r>
    </w:p>
    <w:p w:rsidR="005878C6" w:rsidRPr="005878C6" w:rsidRDefault="005878C6" w:rsidP="007E01C1">
      <w:pPr>
        <w:pStyle w:val="ad"/>
        <w:widowControl w:val="0"/>
        <w:numPr>
          <w:ilvl w:val="0"/>
          <w:numId w:val="19"/>
        </w:numPr>
        <w:tabs>
          <w:tab w:val="left" w:pos="540"/>
          <w:tab w:val="left" w:pos="993"/>
          <w:tab w:val="left" w:pos="1276"/>
        </w:tabs>
        <w:spacing w:after="0" w:line="240" w:lineRule="auto"/>
        <w:ind w:left="0" w:firstLine="709"/>
        <w:jc w:val="both"/>
        <w:rPr>
          <w:rFonts w:ascii="Times New Roman" w:hAnsi="Times New Roman"/>
          <w:bCs/>
          <w:iCs/>
          <w:sz w:val="24"/>
          <w:szCs w:val="24"/>
        </w:rPr>
      </w:pPr>
      <w:r w:rsidRPr="005878C6">
        <w:rPr>
          <w:rFonts w:ascii="Times New Roman" w:hAnsi="Times New Roman"/>
          <w:bCs/>
          <w:iCs/>
          <w:sz w:val="24"/>
          <w:szCs w:val="24"/>
        </w:rPr>
        <w:t>Проанализировать механизм расчетов по строительству жилых домов для предоставления семьям, готовым взять на воспитание 5 и более детей-сирот и (или) детей, оставшихся без попечения родителей, предусмотренный подпрограммой «Семья детям» государственной программы «Обеспечение доступным и качественным жильем населения Амурской области на 2014-2020 годы», для определения реальной потребности в расходах областного бюджета на 2015 год и возможности переноса части средств по строительству данных объектов на следующие годы бюджетного цикла.</w:t>
      </w:r>
    </w:p>
    <w:p w:rsidR="005878C6" w:rsidRPr="005878C6" w:rsidRDefault="005878C6" w:rsidP="007E01C1">
      <w:pPr>
        <w:pStyle w:val="ad"/>
        <w:numPr>
          <w:ilvl w:val="0"/>
          <w:numId w:val="19"/>
        </w:numPr>
        <w:tabs>
          <w:tab w:val="left" w:pos="993"/>
          <w:tab w:val="left" w:pos="1276"/>
        </w:tabs>
        <w:spacing w:after="0" w:line="240" w:lineRule="auto"/>
        <w:ind w:left="0" w:firstLine="709"/>
        <w:jc w:val="both"/>
        <w:rPr>
          <w:rFonts w:ascii="Times New Roman" w:eastAsiaTheme="minorHAnsi" w:hAnsi="Times New Roman"/>
          <w:sz w:val="24"/>
          <w:szCs w:val="24"/>
        </w:rPr>
      </w:pPr>
      <w:r w:rsidRPr="005878C6">
        <w:rPr>
          <w:rFonts w:ascii="Times New Roman" w:eastAsiaTheme="minorHAnsi" w:hAnsi="Times New Roman"/>
          <w:sz w:val="24"/>
          <w:szCs w:val="24"/>
        </w:rPr>
        <w:t>Внести изменения в текстовые статьи проекта закона «Об областном бюджете на 2015 год и плановый период 2016 и 2017 годов», в том числе:</w:t>
      </w:r>
    </w:p>
    <w:p w:rsidR="005878C6" w:rsidRPr="00E96F83" w:rsidRDefault="005878C6" w:rsidP="007E01C1">
      <w:pPr>
        <w:pStyle w:val="ad"/>
        <w:numPr>
          <w:ilvl w:val="1"/>
          <w:numId w:val="19"/>
        </w:numPr>
        <w:tabs>
          <w:tab w:val="left" w:pos="993"/>
          <w:tab w:val="left" w:pos="1276"/>
        </w:tabs>
        <w:spacing w:after="0" w:line="240" w:lineRule="auto"/>
        <w:ind w:left="0" w:firstLine="709"/>
        <w:jc w:val="both"/>
        <w:rPr>
          <w:rFonts w:ascii="Times New Roman" w:eastAsiaTheme="minorHAnsi" w:hAnsi="Times New Roman"/>
          <w:sz w:val="24"/>
          <w:szCs w:val="24"/>
        </w:rPr>
      </w:pPr>
      <w:r w:rsidRPr="00E96F83">
        <w:rPr>
          <w:rFonts w:ascii="Times New Roman" w:eastAsiaTheme="minorHAnsi" w:hAnsi="Times New Roman"/>
          <w:sz w:val="24"/>
          <w:szCs w:val="24"/>
        </w:rPr>
        <w:t>В статье 9 законопроекта</w:t>
      </w:r>
      <w:r w:rsidRPr="00E96F83">
        <w:rPr>
          <w:rFonts w:ascii="Times New Roman" w:eastAsiaTheme="minorHAnsi" w:hAnsi="Times New Roman"/>
          <w:sz w:val="24"/>
          <w:szCs w:val="24"/>
          <w:lang w:val="en-US"/>
        </w:rPr>
        <w:t>:</w:t>
      </w:r>
    </w:p>
    <w:p w:rsidR="005878C6" w:rsidRPr="005878C6" w:rsidRDefault="005878C6" w:rsidP="007E01C1">
      <w:pPr>
        <w:pStyle w:val="ad"/>
        <w:numPr>
          <w:ilvl w:val="0"/>
          <w:numId w:val="20"/>
        </w:numPr>
        <w:tabs>
          <w:tab w:val="left" w:pos="993"/>
          <w:tab w:val="left" w:pos="1276"/>
        </w:tabs>
        <w:spacing w:after="0" w:line="240" w:lineRule="auto"/>
        <w:ind w:left="0" w:firstLine="709"/>
        <w:jc w:val="both"/>
        <w:rPr>
          <w:rFonts w:ascii="Times New Roman" w:eastAsiaTheme="minorHAnsi" w:hAnsi="Times New Roman"/>
          <w:sz w:val="24"/>
          <w:szCs w:val="24"/>
        </w:rPr>
      </w:pPr>
      <w:r w:rsidRPr="005878C6">
        <w:rPr>
          <w:rFonts w:ascii="Times New Roman" w:eastAsiaTheme="minorHAnsi" w:hAnsi="Times New Roman"/>
          <w:sz w:val="24"/>
          <w:szCs w:val="24"/>
        </w:rPr>
        <w:t>в части 1</w:t>
      </w:r>
      <w:r w:rsidRPr="005878C6">
        <w:rPr>
          <w:rFonts w:ascii="Times New Roman" w:eastAsiaTheme="minorHAnsi" w:hAnsi="Times New Roman"/>
          <w:sz w:val="24"/>
          <w:szCs w:val="24"/>
          <w:lang w:val="en-US"/>
        </w:rPr>
        <w:t>:</w:t>
      </w:r>
    </w:p>
    <w:p w:rsidR="005878C6" w:rsidRPr="007E01C1" w:rsidRDefault="005878C6" w:rsidP="00140F08">
      <w:pPr>
        <w:pStyle w:val="ad"/>
        <w:numPr>
          <w:ilvl w:val="0"/>
          <w:numId w:val="26"/>
        </w:numPr>
        <w:tabs>
          <w:tab w:val="left" w:pos="993"/>
          <w:tab w:val="left" w:pos="1276"/>
        </w:tabs>
        <w:spacing w:after="0" w:line="240" w:lineRule="auto"/>
        <w:ind w:left="0" w:firstLine="1069"/>
        <w:jc w:val="both"/>
        <w:rPr>
          <w:rFonts w:ascii="Times New Roman" w:eastAsiaTheme="minorHAnsi" w:hAnsi="Times New Roman"/>
          <w:sz w:val="24"/>
          <w:szCs w:val="24"/>
        </w:rPr>
      </w:pPr>
      <w:r w:rsidRPr="007E01C1">
        <w:rPr>
          <w:rFonts w:ascii="Times New Roman" w:eastAsiaTheme="minorHAnsi" w:hAnsi="Times New Roman"/>
          <w:sz w:val="24"/>
          <w:szCs w:val="24"/>
        </w:rPr>
        <w:t>пункт 3 исключить;</w:t>
      </w:r>
    </w:p>
    <w:p w:rsidR="005878C6" w:rsidRPr="007E01C1" w:rsidRDefault="005878C6" w:rsidP="00140F08">
      <w:pPr>
        <w:pStyle w:val="ad"/>
        <w:numPr>
          <w:ilvl w:val="0"/>
          <w:numId w:val="26"/>
        </w:numPr>
        <w:tabs>
          <w:tab w:val="left" w:pos="993"/>
          <w:tab w:val="left" w:pos="1276"/>
        </w:tabs>
        <w:spacing w:after="0" w:line="240" w:lineRule="auto"/>
        <w:ind w:left="0" w:firstLine="1069"/>
        <w:jc w:val="both"/>
        <w:rPr>
          <w:rFonts w:ascii="Times New Roman" w:eastAsiaTheme="minorHAnsi" w:hAnsi="Times New Roman"/>
          <w:sz w:val="24"/>
          <w:szCs w:val="24"/>
        </w:rPr>
      </w:pPr>
      <w:r w:rsidRPr="007E01C1">
        <w:rPr>
          <w:rFonts w:ascii="Times New Roman" w:eastAsiaTheme="minorHAnsi" w:hAnsi="Times New Roman"/>
          <w:sz w:val="24"/>
          <w:szCs w:val="24"/>
        </w:rPr>
        <w:t>в пункте 5 после слов «бюджетным законодательством Российской Федерации» дополнить словами «а также»;</w:t>
      </w:r>
    </w:p>
    <w:p w:rsidR="005878C6" w:rsidRPr="007E01C1" w:rsidRDefault="005878C6" w:rsidP="00140F08">
      <w:pPr>
        <w:pStyle w:val="ad"/>
        <w:numPr>
          <w:ilvl w:val="0"/>
          <w:numId w:val="26"/>
        </w:numPr>
        <w:tabs>
          <w:tab w:val="left" w:pos="993"/>
          <w:tab w:val="left" w:pos="1276"/>
        </w:tabs>
        <w:spacing w:after="0" w:line="240" w:lineRule="auto"/>
        <w:ind w:left="0" w:firstLine="1069"/>
        <w:jc w:val="both"/>
        <w:rPr>
          <w:rFonts w:ascii="Times New Roman" w:eastAsiaTheme="minorHAnsi" w:hAnsi="Times New Roman"/>
          <w:sz w:val="24"/>
          <w:szCs w:val="24"/>
        </w:rPr>
      </w:pPr>
      <w:r w:rsidRPr="007E01C1">
        <w:rPr>
          <w:rFonts w:ascii="Times New Roman" w:eastAsiaTheme="minorHAnsi" w:hAnsi="Times New Roman"/>
          <w:sz w:val="24"/>
          <w:szCs w:val="24"/>
        </w:rPr>
        <w:t>в пункте 6 исправить опечатку в слове «юридическим»;</w:t>
      </w:r>
    </w:p>
    <w:p w:rsidR="005878C6" w:rsidRPr="007E01C1" w:rsidRDefault="005878C6" w:rsidP="00140F08">
      <w:pPr>
        <w:pStyle w:val="ad"/>
        <w:numPr>
          <w:ilvl w:val="0"/>
          <w:numId w:val="26"/>
        </w:numPr>
        <w:tabs>
          <w:tab w:val="left" w:pos="993"/>
          <w:tab w:val="left" w:pos="1276"/>
        </w:tabs>
        <w:spacing w:after="0" w:line="240" w:lineRule="auto"/>
        <w:ind w:left="0" w:firstLine="1069"/>
        <w:jc w:val="both"/>
        <w:rPr>
          <w:rFonts w:ascii="Times New Roman" w:eastAsiaTheme="minorHAnsi" w:hAnsi="Times New Roman"/>
          <w:sz w:val="24"/>
          <w:szCs w:val="24"/>
        </w:rPr>
      </w:pPr>
      <w:r w:rsidRPr="007E01C1">
        <w:rPr>
          <w:rFonts w:ascii="Times New Roman" w:eastAsiaTheme="minorHAnsi" w:hAnsi="Times New Roman"/>
          <w:sz w:val="24"/>
          <w:szCs w:val="24"/>
        </w:rPr>
        <w:t>пункт 7 дополнить словами «а также, если такие изменения не затрагивают бюджетные инвестиции, предусмотренные приложениями</w:t>
      </w:r>
      <w:r w:rsidR="00AA4510">
        <w:rPr>
          <w:rFonts w:ascii="Times New Roman" w:eastAsiaTheme="minorHAnsi" w:hAnsi="Times New Roman"/>
          <w:sz w:val="24"/>
          <w:szCs w:val="24"/>
        </w:rPr>
        <w:t xml:space="preserve"> №№ 10, 44 к настоящему Закону»;</w:t>
      </w:r>
    </w:p>
    <w:p w:rsidR="005878C6" w:rsidRPr="00E96F83" w:rsidRDefault="005878C6" w:rsidP="007E01C1">
      <w:pPr>
        <w:pStyle w:val="ad"/>
        <w:numPr>
          <w:ilvl w:val="0"/>
          <w:numId w:val="20"/>
        </w:numPr>
        <w:tabs>
          <w:tab w:val="left" w:pos="993"/>
          <w:tab w:val="left" w:pos="1276"/>
        </w:tabs>
        <w:spacing w:after="0" w:line="240" w:lineRule="auto"/>
        <w:ind w:left="0" w:firstLine="709"/>
        <w:jc w:val="both"/>
        <w:rPr>
          <w:rFonts w:ascii="Times New Roman" w:eastAsiaTheme="minorHAnsi" w:hAnsi="Times New Roman"/>
          <w:sz w:val="24"/>
          <w:szCs w:val="24"/>
        </w:rPr>
      </w:pPr>
      <w:r w:rsidRPr="00E96F83">
        <w:rPr>
          <w:rFonts w:ascii="Times New Roman" w:eastAsiaTheme="minorHAnsi" w:hAnsi="Times New Roman"/>
          <w:sz w:val="24"/>
          <w:szCs w:val="24"/>
        </w:rPr>
        <w:t>части 2 и 3 исключить.</w:t>
      </w:r>
    </w:p>
    <w:p w:rsidR="005878C6" w:rsidRPr="00E96F83" w:rsidRDefault="005878C6" w:rsidP="007E01C1">
      <w:pPr>
        <w:pStyle w:val="ad"/>
        <w:numPr>
          <w:ilvl w:val="1"/>
          <w:numId w:val="19"/>
        </w:numPr>
        <w:tabs>
          <w:tab w:val="left" w:pos="993"/>
          <w:tab w:val="left" w:pos="1276"/>
        </w:tabs>
        <w:spacing w:after="0" w:line="240" w:lineRule="auto"/>
        <w:ind w:left="0" w:firstLine="709"/>
        <w:jc w:val="both"/>
        <w:rPr>
          <w:rFonts w:ascii="Times New Roman" w:eastAsiaTheme="minorHAnsi" w:hAnsi="Times New Roman"/>
          <w:sz w:val="24"/>
          <w:szCs w:val="24"/>
        </w:rPr>
      </w:pPr>
      <w:r w:rsidRPr="00E96F83">
        <w:rPr>
          <w:rFonts w:ascii="Times New Roman" w:eastAsiaTheme="minorHAnsi" w:hAnsi="Times New Roman"/>
          <w:sz w:val="24"/>
          <w:szCs w:val="24"/>
        </w:rPr>
        <w:t>Включить в законопроект отдельную статью «Особенности использования средств, получаемых отдельными юридическими лицами из областного бюджета», в которой:</w:t>
      </w:r>
    </w:p>
    <w:p w:rsidR="005878C6" w:rsidRPr="00140F08" w:rsidRDefault="005878C6" w:rsidP="00140F08">
      <w:pPr>
        <w:pStyle w:val="ad"/>
        <w:widowControl w:val="0"/>
        <w:numPr>
          <w:ilvl w:val="0"/>
          <w:numId w:val="27"/>
        </w:numPr>
        <w:tabs>
          <w:tab w:val="left" w:pos="993"/>
          <w:tab w:val="left" w:pos="1276"/>
        </w:tabs>
        <w:spacing w:after="0" w:line="240" w:lineRule="auto"/>
        <w:ind w:left="0" w:firstLine="1069"/>
        <w:jc w:val="both"/>
        <w:rPr>
          <w:rFonts w:ascii="Times New Roman" w:eastAsiaTheme="minorHAnsi" w:hAnsi="Times New Roman"/>
          <w:sz w:val="24"/>
          <w:szCs w:val="24"/>
        </w:rPr>
      </w:pPr>
      <w:r w:rsidRPr="00140F08">
        <w:rPr>
          <w:rFonts w:ascii="Times New Roman" w:eastAsiaTheme="minorHAnsi" w:hAnsi="Times New Roman"/>
          <w:sz w:val="24"/>
          <w:szCs w:val="24"/>
        </w:rPr>
        <w:t>предусмотреть механизм реализации нормы, касающейся размера субсидий, предоставляемых юридическим лицам, подлежащих перечислению на лицевые счета, открытые юридическим лицам в министерстве финансов Амурской области в порядке, установленном министерством финансов Амурской области, а также операций по перечислению средств, отра</w:t>
      </w:r>
      <w:r w:rsidR="00140F08">
        <w:rPr>
          <w:rFonts w:ascii="Times New Roman" w:eastAsiaTheme="minorHAnsi" w:hAnsi="Times New Roman"/>
          <w:sz w:val="24"/>
          <w:szCs w:val="24"/>
        </w:rPr>
        <w:t>женных на таких лицевых счетах;</w:t>
      </w:r>
    </w:p>
    <w:p w:rsidR="005878C6" w:rsidRPr="00140F08" w:rsidRDefault="005878C6" w:rsidP="00140F08">
      <w:pPr>
        <w:pStyle w:val="ad"/>
        <w:widowControl w:val="0"/>
        <w:numPr>
          <w:ilvl w:val="0"/>
          <w:numId w:val="27"/>
        </w:numPr>
        <w:tabs>
          <w:tab w:val="left" w:pos="993"/>
          <w:tab w:val="left" w:pos="1276"/>
        </w:tabs>
        <w:spacing w:after="0" w:line="240" w:lineRule="auto"/>
        <w:ind w:left="0" w:firstLine="1069"/>
        <w:jc w:val="both"/>
        <w:rPr>
          <w:rFonts w:ascii="Times New Roman" w:eastAsiaTheme="minorHAnsi" w:hAnsi="Times New Roman"/>
          <w:sz w:val="24"/>
          <w:szCs w:val="24"/>
        </w:rPr>
      </w:pPr>
      <w:r w:rsidRPr="00140F08">
        <w:rPr>
          <w:rFonts w:ascii="Times New Roman" w:eastAsiaTheme="minorHAnsi" w:hAnsi="Times New Roman"/>
          <w:sz w:val="24"/>
          <w:szCs w:val="24"/>
        </w:rPr>
        <w:t>предусмотреть норму, согласно которой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увеличение уставных капиталов подлежат перечислению на отдельные счета, открытые в министерстве финансов Амурской области.</w:t>
      </w:r>
    </w:p>
    <w:p w:rsidR="005878C6" w:rsidRPr="00E96F83" w:rsidRDefault="005878C6" w:rsidP="007E01C1">
      <w:pPr>
        <w:pStyle w:val="ad"/>
        <w:numPr>
          <w:ilvl w:val="1"/>
          <w:numId w:val="19"/>
        </w:numPr>
        <w:tabs>
          <w:tab w:val="left" w:pos="993"/>
          <w:tab w:val="left" w:pos="1276"/>
        </w:tabs>
        <w:spacing w:after="0" w:line="240" w:lineRule="auto"/>
        <w:ind w:left="0" w:firstLine="709"/>
        <w:jc w:val="both"/>
        <w:rPr>
          <w:rFonts w:ascii="Times New Roman" w:eastAsiaTheme="minorHAnsi" w:hAnsi="Times New Roman"/>
          <w:sz w:val="24"/>
          <w:szCs w:val="24"/>
        </w:rPr>
      </w:pPr>
      <w:r w:rsidRPr="00E96F83">
        <w:rPr>
          <w:rFonts w:ascii="Times New Roman" w:eastAsiaTheme="minorHAnsi" w:hAnsi="Times New Roman"/>
          <w:sz w:val="24"/>
          <w:szCs w:val="24"/>
        </w:rPr>
        <w:t>В части 1 статьи 13</w:t>
      </w:r>
      <w:r w:rsidRPr="00E96F83">
        <w:rPr>
          <w:rFonts w:ascii="Times New Roman" w:eastAsiaTheme="minorHAnsi" w:hAnsi="Times New Roman"/>
          <w:sz w:val="24"/>
          <w:szCs w:val="24"/>
          <w:lang w:val="en-US"/>
        </w:rPr>
        <w:t xml:space="preserve"> </w:t>
      </w:r>
      <w:r w:rsidRPr="00E96F83">
        <w:rPr>
          <w:rFonts w:ascii="Times New Roman" w:eastAsiaTheme="minorHAnsi" w:hAnsi="Times New Roman"/>
          <w:sz w:val="24"/>
          <w:szCs w:val="24"/>
        </w:rPr>
        <w:t>законопроекта</w:t>
      </w:r>
      <w:r w:rsidRPr="00E96F83">
        <w:rPr>
          <w:rFonts w:ascii="Times New Roman" w:eastAsiaTheme="minorHAnsi" w:hAnsi="Times New Roman"/>
          <w:sz w:val="24"/>
          <w:szCs w:val="24"/>
          <w:lang w:val="en-US"/>
        </w:rPr>
        <w:t>:</w:t>
      </w:r>
    </w:p>
    <w:p w:rsidR="005878C6" w:rsidRPr="00140F08" w:rsidRDefault="005878C6" w:rsidP="00140F08">
      <w:pPr>
        <w:pStyle w:val="ad"/>
        <w:widowControl w:val="0"/>
        <w:numPr>
          <w:ilvl w:val="0"/>
          <w:numId w:val="28"/>
        </w:numPr>
        <w:tabs>
          <w:tab w:val="left" w:pos="993"/>
          <w:tab w:val="left" w:pos="1276"/>
        </w:tabs>
        <w:autoSpaceDE w:val="0"/>
        <w:autoSpaceDN w:val="0"/>
        <w:adjustRightInd w:val="0"/>
        <w:spacing w:after="0" w:line="240" w:lineRule="auto"/>
        <w:ind w:left="0" w:firstLine="1069"/>
        <w:jc w:val="both"/>
        <w:rPr>
          <w:rFonts w:ascii="Times New Roman" w:eastAsiaTheme="minorHAnsi" w:hAnsi="Times New Roman"/>
          <w:sz w:val="24"/>
          <w:szCs w:val="24"/>
        </w:rPr>
      </w:pPr>
      <w:r w:rsidRPr="00140F08">
        <w:rPr>
          <w:rFonts w:ascii="Times New Roman" w:eastAsiaTheme="minorHAnsi" w:hAnsi="Times New Roman"/>
          <w:sz w:val="24"/>
          <w:szCs w:val="24"/>
        </w:rPr>
        <w:lastRenderedPageBreak/>
        <w:t>абзац первый изложить в следующей редакции «Из областного бюджета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случаях, связанных:»</w:t>
      </w:r>
      <w:r w:rsidR="00140F08">
        <w:rPr>
          <w:rFonts w:ascii="Times New Roman" w:eastAsiaTheme="minorHAnsi" w:hAnsi="Times New Roman"/>
          <w:sz w:val="24"/>
          <w:szCs w:val="24"/>
        </w:rPr>
        <w:t>;</w:t>
      </w:r>
    </w:p>
    <w:p w:rsidR="005878C6" w:rsidRPr="00140F08" w:rsidRDefault="005878C6" w:rsidP="00140F08">
      <w:pPr>
        <w:pStyle w:val="ad"/>
        <w:numPr>
          <w:ilvl w:val="0"/>
          <w:numId w:val="28"/>
        </w:numPr>
        <w:tabs>
          <w:tab w:val="left" w:pos="993"/>
          <w:tab w:val="left" w:pos="1276"/>
        </w:tabs>
        <w:spacing w:after="0" w:line="240" w:lineRule="auto"/>
        <w:ind w:left="0" w:firstLine="1069"/>
        <w:jc w:val="both"/>
        <w:rPr>
          <w:rFonts w:ascii="Times New Roman" w:eastAsiaTheme="minorHAnsi" w:hAnsi="Times New Roman"/>
          <w:sz w:val="24"/>
          <w:szCs w:val="24"/>
        </w:rPr>
      </w:pPr>
      <w:r w:rsidRPr="00140F08">
        <w:rPr>
          <w:rFonts w:ascii="Times New Roman" w:eastAsiaTheme="minorHAnsi" w:hAnsi="Times New Roman"/>
          <w:sz w:val="24"/>
          <w:szCs w:val="24"/>
        </w:rPr>
        <w:t>в пункте 28 слова «со строительством детских домов семейного типа» заменить словами «со строительством жилых домов для предоставления семьям, готовым взять на воспитание не менее 5 детей-сирот и (или) детей, оставшихся без попечения родителей».</w:t>
      </w:r>
    </w:p>
    <w:p w:rsidR="005878C6" w:rsidRDefault="005878C6" w:rsidP="007E01C1">
      <w:pPr>
        <w:pStyle w:val="ad"/>
        <w:numPr>
          <w:ilvl w:val="1"/>
          <w:numId w:val="19"/>
        </w:numPr>
        <w:tabs>
          <w:tab w:val="left" w:pos="993"/>
          <w:tab w:val="left" w:pos="1276"/>
        </w:tabs>
        <w:spacing w:after="0" w:line="240" w:lineRule="auto"/>
        <w:ind w:left="0" w:firstLine="709"/>
        <w:jc w:val="both"/>
        <w:rPr>
          <w:rFonts w:ascii="Times New Roman" w:eastAsiaTheme="minorHAnsi" w:hAnsi="Times New Roman"/>
          <w:sz w:val="24"/>
          <w:szCs w:val="24"/>
        </w:rPr>
      </w:pPr>
      <w:r w:rsidRPr="00E96F83">
        <w:rPr>
          <w:rFonts w:ascii="Times New Roman" w:eastAsiaTheme="minorHAnsi" w:hAnsi="Times New Roman"/>
          <w:sz w:val="24"/>
          <w:szCs w:val="24"/>
        </w:rPr>
        <w:t xml:space="preserve"> Изменить нумерацию статей</w:t>
      </w:r>
      <w:r w:rsidR="00E96F83">
        <w:rPr>
          <w:rFonts w:ascii="Times New Roman" w:eastAsiaTheme="minorHAnsi" w:hAnsi="Times New Roman"/>
          <w:sz w:val="24"/>
          <w:szCs w:val="24"/>
        </w:rPr>
        <w:t>, с</w:t>
      </w:r>
      <w:r w:rsidRPr="00E96F83">
        <w:rPr>
          <w:rFonts w:ascii="Times New Roman" w:eastAsiaTheme="minorHAnsi" w:hAnsi="Times New Roman"/>
          <w:sz w:val="24"/>
          <w:szCs w:val="24"/>
        </w:rPr>
        <w:t>татьи 15-19 считать статьями 14-18.</w:t>
      </w:r>
    </w:p>
    <w:p w:rsidR="00E96F83" w:rsidRPr="00E96F83" w:rsidRDefault="00E96F83" w:rsidP="00E96F83">
      <w:pPr>
        <w:pStyle w:val="ad"/>
        <w:spacing w:after="0" w:line="240" w:lineRule="auto"/>
        <w:ind w:left="851"/>
        <w:jc w:val="both"/>
        <w:rPr>
          <w:rFonts w:ascii="Times New Roman" w:eastAsiaTheme="minorHAnsi" w:hAnsi="Times New Roman"/>
          <w:sz w:val="24"/>
          <w:szCs w:val="24"/>
        </w:rPr>
      </w:pPr>
    </w:p>
    <w:p w:rsidR="005878C6" w:rsidRPr="001A6362" w:rsidRDefault="005878C6" w:rsidP="005878C6">
      <w:pPr>
        <w:autoSpaceDE w:val="0"/>
        <w:autoSpaceDN w:val="0"/>
        <w:adjustRightInd w:val="0"/>
        <w:spacing w:after="0" w:line="240" w:lineRule="auto"/>
        <w:ind w:firstLine="680"/>
        <w:jc w:val="both"/>
        <w:rPr>
          <w:rFonts w:ascii="Times New Roman" w:hAnsi="Times New Roman"/>
          <w:b/>
          <w:bCs/>
          <w:iCs/>
          <w:sz w:val="24"/>
          <w:szCs w:val="24"/>
        </w:rPr>
      </w:pPr>
      <w:r>
        <w:rPr>
          <w:rFonts w:ascii="Times New Roman" w:hAnsi="Times New Roman"/>
          <w:b/>
          <w:bCs/>
          <w:iCs/>
          <w:sz w:val="24"/>
          <w:szCs w:val="24"/>
        </w:rPr>
        <w:t>С</w:t>
      </w:r>
      <w:r w:rsidRPr="001A6362">
        <w:rPr>
          <w:rFonts w:ascii="Times New Roman" w:hAnsi="Times New Roman"/>
          <w:b/>
          <w:bCs/>
          <w:iCs/>
          <w:sz w:val="24"/>
          <w:szCs w:val="24"/>
        </w:rPr>
        <w:t xml:space="preserve"> учетом выводов, изложенных в настоящем заключении, контрольно-счетная палата Амурской области предлагает Правительству Амурской области:</w:t>
      </w:r>
    </w:p>
    <w:p w:rsidR="005878C6" w:rsidRPr="007E01C1" w:rsidRDefault="009308AA" w:rsidP="00DA725A">
      <w:pPr>
        <w:pStyle w:val="ad"/>
        <w:numPr>
          <w:ilvl w:val="0"/>
          <w:numId w:val="22"/>
        </w:numPr>
        <w:spacing w:after="0" w:line="240" w:lineRule="auto"/>
        <w:ind w:left="0" w:firstLine="709"/>
        <w:jc w:val="both"/>
        <w:rPr>
          <w:rFonts w:ascii="Times New Roman" w:hAnsi="Times New Roman"/>
          <w:sz w:val="24"/>
          <w:szCs w:val="24"/>
        </w:rPr>
      </w:pPr>
      <w:r w:rsidRPr="007E01C1">
        <w:rPr>
          <w:rFonts w:ascii="Times New Roman" w:hAnsi="Times New Roman"/>
          <w:sz w:val="24"/>
          <w:szCs w:val="24"/>
        </w:rPr>
        <w:t>В целях обеспечения проведения полноценной экспертизы проекта закона об областном бюджете на очередной финансовый год и плановый период р</w:t>
      </w:r>
      <w:r w:rsidR="005878C6" w:rsidRPr="007E01C1">
        <w:rPr>
          <w:rFonts w:ascii="Times New Roman" w:hAnsi="Times New Roman"/>
          <w:sz w:val="24"/>
          <w:szCs w:val="24"/>
        </w:rPr>
        <w:t>ассмотреть вопрос о внесении изменений в Закон Амурской области от 31.08.2007 № 368-ОЗ «О бюджетном процессе в Амурской области»:</w:t>
      </w:r>
    </w:p>
    <w:p w:rsidR="005878C6" w:rsidRPr="009308AA" w:rsidRDefault="00E96F83" w:rsidP="007E01C1">
      <w:pPr>
        <w:pStyle w:val="ad"/>
        <w:numPr>
          <w:ilvl w:val="0"/>
          <w:numId w:val="13"/>
        </w:numPr>
        <w:tabs>
          <w:tab w:val="left" w:pos="426"/>
          <w:tab w:val="left" w:pos="993"/>
        </w:tabs>
        <w:spacing w:after="0" w:line="240" w:lineRule="auto"/>
        <w:ind w:left="0" w:firstLine="284"/>
        <w:jc w:val="both"/>
        <w:rPr>
          <w:rFonts w:ascii="Times New Roman" w:hAnsi="Times New Roman"/>
          <w:sz w:val="24"/>
          <w:szCs w:val="24"/>
        </w:rPr>
      </w:pPr>
      <w:r w:rsidRPr="009308AA">
        <w:rPr>
          <w:rFonts w:ascii="Times New Roman" w:hAnsi="Times New Roman"/>
          <w:sz w:val="24"/>
          <w:szCs w:val="24"/>
        </w:rPr>
        <w:t>пункт 8 части 1 статьи 12</w:t>
      </w:r>
      <w:r w:rsidR="009308AA" w:rsidRPr="009308AA">
        <w:rPr>
          <w:rFonts w:ascii="Times New Roman" w:hAnsi="Times New Roman"/>
          <w:sz w:val="24"/>
          <w:szCs w:val="24"/>
        </w:rPr>
        <w:t xml:space="preserve"> изложить в следующей редакции: «</w:t>
      </w:r>
      <w:r w:rsidRPr="009308AA">
        <w:rPr>
          <w:rFonts w:ascii="Times New Roman" w:hAnsi="Times New Roman"/>
          <w:sz w:val="24"/>
          <w:szCs w:val="24"/>
        </w:rPr>
        <w:t>распределени</w:t>
      </w:r>
      <w:r w:rsidR="009308AA" w:rsidRPr="009308AA">
        <w:rPr>
          <w:rFonts w:ascii="Times New Roman" w:hAnsi="Times New Roman"/>
          <w:sz w:val="24"/>
          <w:szCs w:val="24"/>
        </w:rPr>
        <w:t>е</w:t>
      </w:r>
      <w:r w:rsidRPr="009308AA">
        <w:rPr>
          <w:rFonts w:ascii="Times New Roman" w:hAnsi="Times New Roman"/>
          <w:sz w:val="24"/>
          <w:szCs w:val="24"/>
        </w:rPr>
        <w:t xml:space="preserve"> бюджетных ассигнований по </w:t>
      </w:r>
      <w:r w:rsidRPr="009308AA">
        <w:rPr>
          <w:rFonts w:ascii="Times New Roman" w:hAnsi="Times New Roman"/>
          <w:bCs/>
          <w:sz w:val="24"/>
          <w:szCs w:val="24"/>
        </w:rPr>
        <w:t>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областного бюджета</w:t>
      </w:r>
      <w:r w:rsidR="009308AA" w:rsidRPr="009308AA">
        <w:rPr>
          <w:rFonts w:ascii="Times New Roman" w:hAnsi="Times New Roman"/>
          <w:bCs/>
          <w:sz w:val="24"/>
          <w:szCs w:val="24"/>
        </w:rPr>
        <w:t>»</w:t>
      </w:r>
      <w:r w:rsidR="009308AA">
        <w:rPr>
          <w:rFonts w:ascii="Times New Roman" w:hAnsi="Times New Roman"/>
          <w:sz w:val="24"/>
          <w:szCs w:val="24"/>
        </w:rPr>
        <w:t>;</w:t>
      </w:r>
    </w:p>
    <w:p w:rsidR="005878C6" w:rsidRDefault="005878C6" w:rsidP="007E01C1">
      <w:pPr>
        <w:pStyle w:val="ad"/>
        <w:numPr>
          <w:ilvl w:val="0"/>
          <w:numId w:val="13"/>
        </w:numPr>
        <w:tabs>
          <w:tab w:val="left" w:pos="426"/>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часть</w:t>
      </w:r>
      <w:r w:rsidRPr="00686F86">
        <w:rPr>
          <w:rFonts w:ascii="Times New Roman" w:hAnsi="Times New Roman"/>
          <w:sz w:val="24"/>
          <w:szCs w:val="24"/>
        </w:rPr>
        <w:t xml:space="preserve"> 1 статьи 4 дополн</w:t>
      </w:r>
      <w:r>
        <w:rPr>
          <w:rFonts w:ascii="Times New Roman" w:hAnsi="Times New Roman"/>
          <w:sz w:val="24"/>
          <w:szCs w:val="24"/>
        </w:rPr>
        <w:t>ить пунктами, предусматривающими перечень документов, аналогичных документам, предусмотренным ст</w:t>
      </w:r>
      <w:r w:rsidR="009308AA">
        <w:rPr>
          <w:rFonts w:ascii="Times New Roman" w:hAnsi="Times New Roman"/>
          <w:sz w:val="24"/>
          <w:szCs w:val="24"/>
        </w:rPr>
        <w:t>атьей</w:t>
      </w:r>
      <w:r>
        <w:rPr>
          <w:rFonts w:ascii="Times New Roman" w:hAnsi="Times New Roman"/>
          <w:sz w:val="24"/>
          <w:szCs w:val="24"/>
        </w:rPr>
        <w:t xml:space="preserve"> 192 Бюджетного кодекса Российской Федерации:</w:t>
      </w:r>
    </w:p>
    <w:p w:rsidR="005878C6" w:rsidRDefault="005878C6" w:rsidP="007E01C1">
      <w:pPr>
        <w:pStyle w:val="ad"/>
        <w:numPr>
          <w:ilvl w:val="0"/>
          <w:numId w:val="21"/>
        </w:numPr>
        <w:tabs>
          <w:tab w:val="left" w:pos="0"/>
        </w:tabs>
        <w:spacing w:after="0" w:line="240" w:lineRule="auto"/>
        <w:jc w:val="both"/>
        <w:rPr>
          <w:rFonts w:ascii="Times New Roman" w:hAnsi="Times New Roman"/>
          <w:sz w:val="24"/>
          <w:szCs w:val="24"/>
        </w:rPr>
      </w:pPr>
      <w:r w:rsidRPr="00876758">
        <w:rPr>
          <w:rFonts w:ascii="Times New Roman" w:hAnsi="Times New Roman"/>
          <w:sz w:val="24"/>
          <w:szCs w:val="24"/>
        </w:rPr>
        <w:t>расчет</w:t>
      </w:r>
      <w:r>
        <w:rPr>
          <w:rFonts w:ascii="Times New Roman" w:hAnsi="Times New Roman"/>
          <w:sz w:val="24"/>
          <w:szCs w:val="24"/>
        </w:rPr>
        <w:t>ы</w:t>
      </w:r>
      <w:r w:rsidRPr="00876758">
        <w:rPr>
          <w:rFonts w:ascii="Times New Roman" w:hAnsi="Times New Roman"/>
          <w:sz w:val="24"/>
          <w:szCs w:val="24"/>
        </w:rPr>
        <w:t xml:space="preserve"> по статьям классификации доходов </w:t>
      </w:r>
      <w:r>
        <w:rPr>
          <w:rFonts w:ascii="Times New Roman" w:hAnsi="Times New Roman"/>
          <w:sz w:val="24"/>
          <w:szCs w:val="24"/>
        </w:rPr>
        <w:t>областного</w:t>
      </w:r>
      <w:r w:rsidRPr="00876758">
        <w:rPr>
          <w:rFonts w:ascii="Times New Roman" w:hAnsi="Times New Roman"/>
          <w:sz w:val="24"/>
          <w:szCs w:val="24"/>
        </w:rPr>
        <w:t xml:space="preserve"> бюджета и источников финансирования дефицита </w:t>
      </w:r>
      <w:r>
        <w:rPr>
          <w:rFonts w:ascii="Times New Roman" w:hAnsi="Times New Roman"/>
          <w:sz w:val="24"/>
          <w:szCs w:val="24"/>
        </w:rPr>
        <w:t>областного</w:t>
      </w:r>
      <w:r w:rsidRPr="00876758">
        <w:rPr>
          <w:rFonts w:ascii="Times New Roman" w:hAnsi="Times New Roman"/>
          <w:sz w:val="24"/>
          <w:szCs w:val="24"/>
        </w:rPr>
        <w:t xml:space="preserve"> бюджета на очередной финансовый год и плановый период;</w:t>
      </w:r>
    </w:p>
    <w:p w:rsidR="005878C6" w:rsidRDefault="005878C6" w:rsidP="00DA725A">
      <w:pPr>
        <w:pStyle w:val="ad"/>
        <w:numPr>
          <w:ilvl w:val="0"/>
          <w:numId w:val="21"/>
        </w:numPr>
        <w:tabs>
          <w:tab w:val="left" w:pos="0"/>
        </w:tabs>
        <w:spacing w:after="0" w:line="240" w:lineRule="auto"/>
        <w:jc w:val="both"/>
        <w:rPr>
          <w:rFonts w:ascii="Times New Roman" w:hAnsi="Times New Roman"/>
          <w:sz w:val="24"/>
          <w:szCs w:val="24"/>
        </w:rPr>
      </w:pPr>
      <w:r w:rsidRPr="00876758">
        <w:rPr>
          <w:rFonts w:ascii="Times New Roman" w:hAnsi="Times New Roman"/>
          <w:sz w:val="24"/>
          <w:szCs w:val="24"/>
        </w:rPr>
        <w:t>переч</w:t>
      </w:r>
      <w:r>
        <w:rPr>
          <w:rFonts w:ascii="Times New Roman" w:hAnsi="Times New Roman"/>
          <w:sz w:val="24"/>
          <w:szCs w:val="24"/>
        </w:rPr>
        <w:t>ень</w:t>
      </w:r>
      <w:r w:rsidRPr="00876758">
        <w:rPr>
          <w:rFonts w:ascii="Times New Roman" w:hAnsi="Times New Roman"/>
          <w:sz w:val="24"/>
          <w:szCs w:val="24"/>
        </w:rPr>
        <w:t xml:space="preserve"> публичных нормативных обязательств, подлежащих исполнению за счет средств </w:t>
      </w:r>
      <w:r>
        <w:rPr>
          <w:rFonts w:ascii="Times New Roman" w:hAnsi="Times New Roman"/>
          <w:sz w:val="24"/>
          <w:szCs w:val="24"/>
        </w:rPr>
        <w:t>областного</w:t>
      </w:r>
      <w:r w:rsidRPr="00876758">
        <w:rPr>
          <w:rFonts w:ascii="Times New Roman" w:hAnsi="Times New Roman"/>
          <w:sz w:val="24"/>
          <w:szCs w:val="24"/>
        </w:rPr>
        <w:t xml:space="preserve"> бюджета, и расчет</w:t>
      </w:r>
      <w:r>
        <w:rPr>
          <w:rFonts w:ascii="Times New Roman" w:hAnsi="Times New Roman"/>
          <w:sz w:val="24"/>
          <w:szCs w:val="24"/>
        </w:rPr>
        <w:t>ов</w:t>
      </w:r>
      <w:r w:rsidRPr="00876758">
        <w:rPr>
          <w:rFonts w:ascii="Times New Roman" w:hAnsi="Times New Roman"/>
          <w:sz w:val="24"/>
          <w:szCs w:val="24"/>
        </w:rPr>
        <w:t xml:space="preserve"> по ним на очередной ф</w:t>
      </w:r>
      <w:r w:rsidR="009308AA">
        <w:rPr>
          <w:rFonts w:ascii="Times New Roman" w:hAnsi="Times New Roman"/>
          <w:sz w:val="24"/>
          <w:szCs w:val="24"/>
        </w:rPr>
        <w:t>инансовый год и плановый период.</w:t>
      </w:r>
    </w:p>
    <w:p w:rsidR="005878C6" w:rsidRPr="007E01C1" w:rsidRDefault="007E01C1" w:rsidP="007C54A1">
      <w:pPr>
        <w:pStyle w:val="ad"/>
        <w:numPr>
          <w:ilvl w:val="0"/>
          <w:numId w:val="22"/>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Принять меры к о</w:t>
      </w:r>
      <w:r w:rsidR="005878C6" w:rsidRPr="007E01C1">
        <w:rPr>
          <w:rFonts w:ascii="Times New Roman" w:hAnsi="Times New Roman"/>
          <w:sz w:val="24"/>
          <w:szCs w:val="24"/>
        </w:rPr>
        <w:t>беспеч</w:t>
      </w:r>
      <w:r>
        <w:rPr>
          <w:rFonts w:ascii="Times New Roman" w:hAnsi="Times New Roman"/>
          <w:sz w:val="24"/>
          <w:szCs w:val="24"/>
        </w:rPr>
        <w:t>ению соблюдения</w:t>
      </w:r>
      <w:r w:rsidR="005878C6" w:rsidRPr="007E01C1">
        <w:rPr>
          <w:rFonts w:ascii="Times New Roman" w:hAnsi="Times New Roman"/>
          <w:sz w:val="24"/>
          <w:szCs w:val="24"/>
        </w:rPr>
        <w:t xml:space="preserve"> Указов Президента Российской Федерации от 7 мая 2012 года, предусмотрев в областном бюджете на 201</w:t>
      </w:r>
      <w:r w:rsidR="009308AA" w:rsidRPr="007E01C1">
        <w:rPr>
          <w:rFonts w:ascii="Times New Roman" w:hAnsi="Times New Roman"/>
          <w:sz w:val="24"/>
          <w:szCs w:val="24"/>
        </w:rPr>
        <w:t>5 год и плановый период 2016</w:t>
      </w:r>
      <w:r w:rsidR="005878C6" w:rsidRPr="007E01C1">
        <w:rPr>
          <w:rFonts w:ascii="Times New Roman" w:hAnsi="Times New Roman"/>
          <w:sz w:val="24"/>
          <w:szCs w:val="24"/>
        </w:rPr>
        <w:t xml:space="preserve"> и</w:t>
      </w:r>
      <w:r>
        <w:rPr>
          <w:rFonts w:ascii="Times New Roman" w:hAnsi="Times New Roman"/>
          <w:sz w:val="24"/>
          <w:szCs w:val="24"/>
        </w:rPr>
        <w:t xml:space="preserve"> </w:t>
      </w:r>
      <w:r w:rsidR="009308AA" w:rsidRPr="007E01C1">
        <w:rPr>
          <w:rFonts w:ascii="Times New Roman" w:hAnsi="Times New Roman"/>
          <w:sz w:val="24"/>
          <w:szCs w:val="24"/>
        </w:rPr>
        <w:t>2017</w:t>
      </w:r>
      <w:r w:rsidR="005878C6" w:rsidRPr="007E01C1">
        <w:rPr>
          <w:rFonts w:ascii="Times New Roman" w:hAnsi="Times New Roman"/>
          <w:sz w:val="24"/>
          <w:szCs w:val="24"/>
        </w:rPr>
        <w:t xml:space="preserve"> годов бюджетные ассигнования на их реализацию.</w:t>
      </w:r>
    </w:p>
    <w:p w:rsidR="005878C6" w:rsidRDefault="005878C6" w:rsidP="007C54A1">
      <w:pPr>
        <w:pStyle w:val="ad"/>
        <w:numPr>
          <w:ilvl w:val="0"/>
          <w:numId w:val="22"/>
        </w:numPr>
        <w:tabs>
          <w:tab w:val="left" w:pos="1276"/>
        </w:tabs>
        <w:spacing w:after="0" w:line="240" w:lineRule="auto"/>
        <w:ind w:left="0" w:firstLine="851"/>
        <w:jc w:val="both"/>
        <w:rPr>
          <w:rFonts w:ascii="Times New Roman" w:hAnsi="Times New Roman"/>
          <w:sz w:val="24"/>
          <w:szCs w:val="24"/>
        </w:rPr>
      </w:pPr>
      <w:r w:rsidRPr="007E01C1">
        <w:rPr>
          <w:rFonts w:ascii="Times New Roman" w:hAnsi="Times New Roman"/>
          <w:sz w:val="24"/>
          <w:szCs w:val="24"/>
        </w:rPr>
        <w:t>Оценку ожидаемого исполнения областного бюджета на текущий финансовый год представлять по структуре, сопоставимой со структурой, в которой проектируются и утверждаю</w:t>
      </w:r>
      <w:r w:rsidR="007E01C1" w:rsidRPr="007E01C1">
        <w:rPr>
          <w:rFonts w:ascii="Times New Roman" w:hAnsi="Times New Roman"/>
          <w:sz w:val="24"/>
          <w:szCs w:val="24"/>
        </w:rPr>
        <w:t>тся расходы областного бюджета.</w:t>
      </w:r>
    </w:p>
    <w:p w:rsidR="00DA725A" w:rsidRPr="00DA725A" w:rsidRDefault="00DA725A" w:rsidP="007C54A1">
      <w:pPr>
        <w:pStyle w:val="ad"/>
        <w:numPr>
          <w:ilvl w:val="0"/>
          <w:numId w:val="22"/>
        </w:numPr>
        <w:spacing w:after="0" w:line="240" w:lineRule="auto"/>
        <w:ind w:left="0" w:firstLine="851"/>
        <w:jc w:val="both"/>
        <w:rPr>
          <w:rFonts w:ascii="Times New Roman" w:hAnsi="Times New Roman"/>
          <w:sz w:val="24"/>
          <w:szCs w:val="24"/>
        </w:rPr>
      </w:pPr>
      <w:r w:rsidRPr="00DA725A">
        <w:rPr>
          <w:rFonts w:ascii="Times New Roman" w:hAnsi="Times New Roman"/>
          <w:sz w:val="24"/>
          <w:szCs w:val="24"/>
        </w:rPr>
        <w:t xml:space="preserve">Внести изменения в статью 22 Закона Амурской области </w:t>
      </w:r>
      <w:r w:rsidR="00AA4510">
        <w:rPr>
          <w:rFonts w:ascii="Times New Roman" w:hAnsi="Times New Roman"/>
          <w:sz w:val="24"/>
          <w:szCs w:val="24"/>
        </w:rPr>
        <w:br/>
      </w:r>
      <w:r w:rsidRPr="00DA725A">
        <w:rPr>
          <w:rFonts w:ascii="Times New Roman" w:hAnsi="Times New Roman"/>
          <w:sz w:val="24"/>
          <w:szCs w:val="24"/>
        </w:rPr>
        <w:t>от 26.04.2013 № 182-ОЗ «Об управлении и распоряжении собственностью Амурской области» в части изменения срок</w:t>
      </w:r>
      <w:r w:rsidR="00AA4510">
        <w:rPr>
          <w:rFonts w:ascii="Times New Roman" w:hAnsi="Times New Roman"/>
          <w:sz w:val="24"/>
          <w:szCs w:val="24"/>
        </w:rPr>
        <w:t>а</w:t>
      </w:r>
      <w:r w:rsidRPr="00DA725A">
        <w:rPr>
          <w:rFonts w:ascii="Times New Roman" w:hAnsi="Times New Roman"/>
          <w:sz w:val="24"/>
          <w:szCs w:val="24"/>
        </w:rPr>
        <w:t>, на который утверждается прогнозный план (программа) приватизации областного имущества, до трех лет.</w:t>
      </w:r>
    </w:p>
    <w:p w:rsidR="00D322BA" w:rsidRDefault="009308AA" w:rsidP="007C54A1">
      <w:pPr>
        <w:pStyle w:val="2"/>
        <w:numPr>
          <w:ilvl w:val="0"/>
          <w:numId w:val="22"/>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Обеспечить </w:t>
      </w:r>
      <w:r w:rsidR="00A60490">
        <w:rPr>
          <w:rFonts w:ascii="Times New Roman" w:hAnsi="Times New Roman"/>
          <w:sz w:val="24"/>
          <w:szCs w:val="24"/>
        </w:rPr>
        <w:t>утверждение (внесение изменений</w:t>
      </w:r>
      <w:r>
        <w:rPr>
          <w:rFonts w:ascii="Times New Roman" w:hAnsi="Times New Roman"/>
          <w:sz w:val="24"/>
          <w:szCs w:val="24"/>
        </w:rPr>
        <w:t xml:space="preserve">) </w:t>
      </w:r>
      <w:r w:rsidRPr="005F2AD6">
        <w:rPr>
          <w:rFonts w:ascii="Times New Roman" w:hAnsi="Times New Roman"/>
          <w:sz w:val="24"/>
          <w:szCs w:val="24"/>
        </w:rPr>
        <w:t>прогнозного плана (программы) приватизации областного имущества</w:t>
      </w:r>
      <w:r w:rsidRPr="007F2461">
        <w:rPr>
          <w:rFonts w:ascii="Times New Roman" w:hAnsi="Times New Roman"/>
          <w:sz w:val="24"/>
          <w:szCs w:val="24"/>
        </w:rPr>
        <w:t xml:space="preserve"> </w:t>
      </w:r>
      <w:r>
        <w:rPr>
          <w:rFonts w:ascii="Times New Roman" w:hAnsi="Times New Roman"/>
          <w:sz w:val="24"/>
          <w:szCs w:val="24"/>
        </w:rPr>
        <w:t xml:space="preserve">на плановый период, соответствующий закону области об областном бюджете на очередной финансовый год и плановый период, </w:t>
      </w:r>
      <w:r w:rsidR="004657F7">
        <w:rPr>
          <w:rFonts w:ascii="Times New Roman" w:hAnsi="Times New Roman"/>
          <w:sz w:val="24"/>
          <w:szCs w:val="24"/>
        </w:rPr>
        <w:t xml:space="preserve">а также </w:t>
      </w:r>
      <w:r>
        <w:rPr>
          <w:rFonts w:ascii="Times New Roman" w:hAnsi="Times New Roman"/>
          <w:sz w:val="24"/>
          <w:szCs w:val="24"/>
        </w:rPr>
        <w:t xml:space="preserve">с </w:t>
      </w:r>
      <w:r w:rsidR="004657F7">
        <w:rPr>
          <w:rFonts w:ascii="Times New Roman" w:hAnsi="Times New Roman"/>
          <w:sz w:val="24"/>
          <w:szCs w:val="24"/>
        </w:rPr>
        <w:t>учетом</w:t>
      </w:r>
      <w:r w:rsidR="00D322BA">
        <w:rPr>
          <w:rFonts w:ascii="Times New Roman" w:hAnsi="Times New Roman"/>
          <w:sz w:val="24"/>
          <w:szCs w:val="24"/>
        </w:rPr>
        <w:t xml:space="preserve"> требовани</w:t>
      </w:r>
      <w:r w:rsidR="004657F7">
        <w:rPr>
          <w:rFonts w:ascii="Times New Roman" w:hAnsi="Times New Roman"/>
          <w:sz w:val="24"/>
          <w:szCs w:val="24"/>
        </w:rPr>
        <w:t>й</w:t>
      </w:r>
      <w:r w:rsidR="00D322BA">
        <w:rPr>
          <w:rFonts w:ascii="Times New Roman" w:hAnsi="Times New Roman"/>
          <w:sz w:val="24"/>
          <w:szCs w:val="24"/>
        </w:rPr>
        <w:t xml:space="preserve"> П</w:t>
      </w:r>
      <w:r w:rsidR="00D322BA" w:rsidRPr="005F2AD6">
        <w:rPr>
          <w:rFonts w:ascii="Times New Roman" w:hAnsi="Times New Roman"/>
          <w:sz w:val="24"/>
          <w:szCs w:val="24"/>
        </w:rPr>
        <w:t>равил разработки прогнозного плана (программы) приватизации областного имущества</w:t>
      </w:r>
      <w:r w:rsidR="00D322BA">
        <w:rPr>
          <w:rFonts w:ascii="Times New Roman" w:hAnsi="Times New Roman"/>
          <w:sz w:val="24"/>
          <w:szCs w:val="24"/>
        </w:rPr>
        <w:t xml:space="preserve">, утвержденных </w:t>
      </w:r>
      <w:r w:rsidR="004657F7">
        <w:rPr>
          <w:rFonts w:ascii="Times New Roman" w:hAnsi="Times New Roman"/>
          <w:sz w:val="24"/>
          <w:szCs w:val="24"/>
        </w:rPr>
        <w:t>п</w:t>
      </w:r>
      <w:r w:rsidR="00D322BA" w:rsidRPr="005F2AD6">
        <w:rPr>
          <w:rFonts w:ascii="Times New Roman" w:hAnsi="Times New Roman"/>
          <w:sz w:val="24"/>
          <w:szCs w:val="24"/>
        </w:rPr>
        <w:t xml:space="preserve">остановлением </w:t>
      </w:r>
      <w:r w:rsidR="00D322BA">
        <w:rPr>
          <w:rFonts w:ascii="Times New Roman" w:hAnsi="Times New Roman"/>
          <w:sz w:val="24"/>
          <w:szCs w:val="24"/>
        </w:rPr>
        <w:t>П</w:t>
      </w:r>
      <w:r w:rsidR="00D322BA" w:rsidRPr="005F2AD6">
        <w:rPr>
          <w:rFonts w:ascii="Times New Roman" w:hAnsi="Times New Roman"/>
          <w:sz w:val="24"/>
          <w:szCs w:val="24"/>
        </w:rPr>
        <w:t xml:space="preserve">равительства Амурской области </w:t>
      </w:r>
      <w:r w:rsidR="00AA4510">
        <w:rPr>
          <w:rFonts w:ascii="Times New Roman" w:hAnsi="Times New Roman"/>
          <w:sz w:val="24"/>
          <w:szCs w:val="24"/>
        </w:rPr>
        <w:br/>
      </w:r>
      <w:r w:rsidR="00D322BA" w:rsidRPr="005F2AD6">
        <w:rPr>
          <w:rFonts w:ascii="Times New Roman" w:hAnsi="Times New Roman"/>
          <w:sz w:val="24"/>
          <w:szCs w:val="24"/>
        </w:rPr>
        <w:t>от 06.03.2008 № 53</w:t>
      </w:r>
      <w:r>
        <w:rPr>
          <w:rFonts w:ascii="Times New Roman" w:hAnsi="Times New Roman"/>
          <w:sz w:val="24"/>
          <w:szCs w:val="24"/>
        </w:rPr>
        <w:t>.</w:t>
      </w:r>
    </w:p>
    <w:p w:rsidR="004657F7" w:rsidRPr="007E01C1" w:rsidRDefault="004657F7" w:rsidP="007C54A1">
      <w:pPr>
        <w:pStyle w:val="ad"/>
        <w:widowControl w:val="0"/>
        <w:numPr>
          <w:ilvl w:val="0"/>
          <w:numId w:val="22"/>
        </w:numPr>
        <w:tabs>
          <w:tab w:val="left" w:pos="540"/>
          <w:tab w:val="left" w:pos="1276"/>
        </w:tabs>
        <w:spacing w:after="0" w:line="240" w:lineRule="auto"/>
        <w:ind w:left="0" w:firstLine="851"/>
        <w:jc w:val="both"/>
        <w:rPr>
          <w:rFonts w:ascii="Times New Roman" w:hAnsi="Times New Roman"/>
          <w:sz w:val="24"/>
          <w:szCs w:val="24"/>
        </w:rPr>
      </w:pPr>
      <w:r w:rsidRPr="007E01C1">
        <w:rPr>
          <w:rFonts w:ascii="Times New Roman" w:hAnsi="Times New Roman"/>
          <w:bCs/>
          <w:iCs/>
          <w:sz w:val="24"/>
          <w:szCs w:val="24"/>
        </w:rPr>
        <w:t xml:space="preserve">Обеспечить </w:t>
      </w:r>
      <w:r w:rsidRPr="007E01C1">
        <w:rPr>
          <w:rFonts w:ascii="Times New Roman" w:hAnsi="Times New Roman"/>
          <w:sz w:val="24"/>
        </w:rPr>
        <w:t xml:space="preserve">качество планирования расходов по мероприятиям государственных программ, предусматривающим бюджетные инвестиции в объекты капитального строительства, расходы на изготовление проектно-сметной документации, строительство и </w:t>
      </w:r>
      <w:r w:rsidRPr="007E01C1">
        <w:rPr>
          <w:rFonts w:ascii="Times New Roman" w:hAnsi="Times New Roman"/>
          <w:sz w:val="24"/>
        </w:rPr>
        <w:lastRenderedPageBreak/>
        <w:t xml:space="preserve">реконструкцию вновь начинаемых объектов государственной собственности области осуществлять при </w:t>
      </w:r>
      <w:r w:rsidRPr="007E01C1">
        <w:rPr>
          <w:rFonts w:ascii="Times New Roman" w:hAnsi="Times New Roman"/>
          <w:sz w:val="24"/>
          <w:szCs w:val="24"/>
        </w:rPr>
        <w:t>наличии ресурсного обеспечения, реальных возможнос</w:t>
      </w:r>
      <w:r w:rsidR="00447C24">
        <w:rPr>
          <w:rFonts w:ascii="Times New Roman" w:hAnsi="Times New Roman"/>
          <w:sz w:val="24"/>
          <w:szCs w:val="24"/>
        </w:rPr>
        <w:t>тей и перспектив строительства.</w:t>
      </w:r>
    </w:p>
    <w:p w:rsidR="004657F7" w:rsidRPr="007E01C1" w:rsidRDefault="004657F7" w:rsidP="007C54A1">
      <w:pPr>
        <w:pStyle w:val="ad"/>
        <w:widowControl w:val="0"/>
        <w:numPr>
          <w:ilvl w:val="0"/>
          <w:numId w:val="22"/>
        </w:numPr>
        <w:tabs>
          <w:tab w:val="left" w:pos="540"/>
          <w:tab w:val="left" w:pos="1134"/>
          <w:tab w:val="left" w:pos="1276"/>
        </w:tabs>
        <w:spacing w:after="0" w:line="240" w:lineRule="auto"/>
        <w:ind w:left="0" w:firstLine="851"/>
        <w:jc w:val="both"/>
        <w:rPr>
          <w:rFonts w:ascii="Times New Roman" w:hAnsi="Times New Roman"/>
          <w:bCs/>
          <w:iCs/>
          <w:sz w:val="24"/>
          <w:szCs w:val="24"/>
        </w:rPr>
      </w:pPr>
      <w:r w:rsidRPr="007E01C1">
        <w:rPr>
          <w:rFonts w:ascii="Times New Roman" w:hAnsi="Times New Roman"/>
          <w:bCs/>
          <w:iCs/>
          <w:sz w:val="24"/>
          <w:szCs w:val="24"/>
        </w:rPr>
        <w:t>В целях обеспечения принципа эффективности использования бюджетных средств рассмотреть возможность включения в областной бюджет на 2015 год и плановый период 2016 и 2017 годов расходов на строительство объектов с высокой степенью готовности: «Дом-интернат для умственно отсталых детей, с. Малиновка Бурейского района», база «Желундинская», «Психоневрологический интернат в с. Новый Быт (спальный корпус)», объектов, начатых строительством в 2011-2012 годах, и объектов с подготовленной проектно-сметной документацией.</w:t>
      </w:r>
    </w:p>
    <w:p w:rsidR="004657F7" w:rsidRPr="007E01C1" w:rsidRDefault="004657F7" w:rsidP="007C54A1">
      <w:pPr>
        <w:pStyle w:val="ad"/>
        <w:numPr>
          <w:ilvl w:val="0"/>
          <w:numId w:val="22"/>
        </w:numPr>
        <w:tabs>
          <w:tab w:val="left" w:pos="1276"/>
        </w:tabs>
        <w:spacing w:after="0" w:line="240" w:lineRule="auto"/>
        <w:ind w:left="0" w:firstLine="851"/>
        <w:jc w:val="both"/>
        <w:rPr>
          <w:rFonts w:ascii="Times New Roman" w:hAnsi="Times New Roman"/>
          <w:sz w:val="24"/>
          <w:szCs w:val="24"/>
        </w:rPr>
      </w:pPr>
      <w:r w:rsidRPr="007E01C1">
        <w:rPr>
          <w:rFonts w:ascii="Times New Roman" w:hAnsi="Times New Roman"/>
          <w:sz w:val="24"/>
          <w:szCs w:val="24"/>
        </w:rPr>
        <w:t xml:space="preserve">Принять меры по обеспечению качественного формирования Перечня </w:t>
      </w:r>
      <w:r w:rsidRPr="007E01C1">
        <w:rPr>
          <w:rFonts w:ascii="Times New Roman" w:hAnsi="Times New Roman"/>
          <w:bCs/>
          <w:iCs/>
          <w:sz w:val="24"/>
          <w:szCs w:val="24"/>
        </w:rPr>
        <w:t>объектов капитального строительства, учтенных в проекте закона области об областном бюджете, и объемов бюджетных ассигнований, направленных на финансовое обеспечение этих объектов</w:t>
      </w:r>
      <w:r w:rsidRPr="007E01C1">
        <w:rPr>
          <w:rFonts w:ascii="Times New Roman" w:hAnsi="Times New Roman"/>
          <w:sz w:val="24"/>
          <w:szCs w:val="24"/>
        </w:rPr>
        <w:t>.</w:t>
      </w:r>
    </w:p>
    <w:p w:rsidR="004657F7" w:rsidRPr="007E01C1" w:rsidRDefault="004657F7" w:rsidP="007C54A1">
      <w:pPr>
        <w:pStyle w:val="ad"/>
        <w:widowControl w:val="0"/>
        <w:numPr>
          <w:ilvl w:val="0"/>
          <w:numId w:val="22"/>
        </w:numPr>
        <w:tabs>
          <w:tab w:val="left" w:pos="540"/>
          <w:tab w:val="left" w:pos="1134"/>
          <w:tab w:val="left" w:pos="1276"/>
        </w:tabs>
        <w:spacing w:after="0" w:line="240" w:lineRule="auto"/>
        <w:ind w:left="0" w:firstLine="851"/>
        <w:jc w:val="both"/>
        <w:rPr>
          <w:rFonts w:ascii="Times New Roman" w:hAnsi="Times New Roman"/>
          <w:bCs/>
          <w:iCs/>
          <w:sz w:val="24"/>
          <w:szCs w:val="24"/>
        </w:rPr>
      </w:pPr>
      <w:r w:rsidRPr="007E01C1">
        <w:rPr>
          <w:rFonts w:ascii="Times New Roman" w:hAnsi="Times New Roman"/>
          <w:bCs/>
          <w:iCs/>
          <w:sz w:val="24"/>
          <w:szCs w:val="24"/>
        </w:rPr>
        <w:t>В целях устранения недостатков, отмеченных в настоящем заключении</w:t>
      </w:r>
      <w:r w:rsidR="005911F1" w:rsidRPr="007E01C1">
        <w:rPr>
          <w:rFonts w:ascii="Times New Roman" w:hAnsi="Times New Roman"/>
          <w:bCs/>
          <w:iCs/>
          <w:sz w:val="24"/>
          <w:szCs w:val="24"/>
        </w:rPr>
        <w:t xml:space="preserve">, </w:t>
      </w:r>
      <w:r w:rsidRPr="007E01C1">
        <w:rPr>
          <w:rFonts w:ascii="Times New Roman" w:hAnsi="Times New Roman"/>
          <w:bCs/>
          <w:iCs/>
          <w:sz w:val="24"/>
          <w:szCs w:val="24"/>
        </w:rPr>
        <w:t>в части отражения мероприятий, предусматривающих капитальные вложения в объекты государственной собственности, обеспечить внесение изменений в государственные программы Амурской области «Обеспечение доступным и качественным жильем населения Амурской области на 2014-2020 годы», «Развитие физической культуры и спорта на территории Амурской области на 2014-2020 годы»</w:t>
      </w:r>
      <w:r w:rsidR="00A058A0" w:rsidRPr="007E01C1">
        <w:rPr>
          <w:rFonts w:ascii="Times New Roman" w:hAnsi="Times New Roman"/>
          <w:bCs/>
          <w:iCs/>
          <w:sz w:val="24"/>
          <w:szCs w:val="24"/>
        </w:rPr>
        <w:t>.</w:t>
      </w:r>
    </w:p>
    <w:p w:rsidR="004657F7" w:rsidRPr="007E01C1" w:rsidRDefault="004657F7" w:rsidP="007C54A1">
      <w:pPr>
        <w:pStyle w:val="ad"/>
        <w:numPr>
          <w:ilvl w:val="0"/>
          <w:numId w:val="22"/>
        </w:numPr>
        <w:tabs>
          <w:tab w:val="left" w:pos="1276"/>
        </w:tabs>
        <w:autoSpaceDE w:val="0"/>
        <w:autoSpaceDN w:val="0"/>
        <w:adjustRightInd w:val="0"/>
        <w:spacing w:after="0" w:line="240" w:lineRule="auto"/>
        <w:ind w:left="0" w:firstLine="851"/>
        <w:jc w:val="both"/>
        <w:rPr>
          <w:rFonts w:ascii="Times New Roman" w:hAnsi="Times New Roman"/>
          <w:sz w:val="24"/>
          <w:szCs w:val="24"/>
        </w:rPr>
      </w:pPr>
      <w:proofErr w:type="gramStart"/>
      <w:r w:rsidRPr="007E01C1">
        <w:rPr>
          <w:rFonts w:ascii="Times New Roman" w:hAnsi="Times New Roman"/>
          <w:sz w:val="24"/>
          <w:szCs w:val="24"/>
        </w:rPr>
        <w:t>В целях соблюдения требований пункта 3 статьи 80 Бюджетного кодекса Российской Федерации обеспечить утверждение нормативным правовым актом Правительства Амурской области требований к договорам</w:t>
      </w:r>
      <w:r w:rsidRPr="007E01C1">
        <w:rPr>
          <w:rFonts w:ascii="Times New Roman" w:hAnsi="Times New Roman"/>
          <w:bCs/>
          <w:sz w:val="24"/>
          <w:szCs w:val="24"/>
        </w:rPr>
        <w:t xml:space="preserve"> об участии Амурской области в собственности субъекта инвестиций</w:t>
      </w:r>
      <w:r w:rsidRPr="007E01C1">
        <w:rPr>
          <w:rFonts w:ascii="Times New Roman" w:hAnsi="Times New Roman"/>
          <w:sz w:val="24"/>
          <w:szCs w:val="24"/>
        </w:rPr>
        <w:t>, заключаемым в связи с предоставлением за счет средств областного бюджета бюджетных инвестиций</w:t>
      </w:r>
      <w:r w:rsidRPr="007E01C1">
        <w:rPr>
          <w:rFonts w:ascii="Times New Roman" w:hAnsi="Times New Roman"/>
          <w:b/>
          <w:sz w:val="24"/>
          <w:szCs w:val="24"/>
        </w:rPr>
        <w:t xml:space="preserve"> </w:t>
      </w:r>
      <w:r w:rsidRPr="007E01C1">
        <w:rPr>
          <w:rFonts w:ascii="Times New Roman" w:hAnsi="Times New Roman"/>
          <w:sz w:val="24"/>
          <w:szCs w:val="24"/>
        </w:rPr>
        <w:t>юридическим лицам, не являющимся государственными учреждениями области и государственными ун</w:t>
      </w:r>
      <w:r w:rsidR="00AA4510">
        <w:rPr>
          <w:rFonts w:ascii="Times New Roman" w:hAnsi="Times New Roman"/>
          <w:sz w:val="24"/>
          <w:szCs w:val="24"/>
        </w:rPr>
        <w:t>итарными предприятиями области.</w:t>
      </w:r>
      <w:proofErr w:type="gramEnd"/>
    </w:p>
    <w:p w:rsidR="009261EB" w:rsidRPr="007E01C1" w:rsidRDefault="009261EB" w:rsidP="007C54A1">
      <w:pPr>
        <w:pStyle w:val="ad"/>
        <w:numPr>
          <w:ilvl w:val="0"/>
          <w:numId w:val="22"/>
        </w:numPr>
        <w:tabs>
          <w:tab w:val="left" w:pos="1276"/>
        </w:tabs>
        <w:spacing w:after="0" w:line="240" w:lineRule="auto"/>
        <w:ind w:left="0" w:firstLine="851"/>
        <w:jc w:val="both"/>
        <w:rPr>
          <w:rFonts w:ascii="Times New Roman" w:hAnsi="Times New Roman"/>
          <w:sz w:val="24"/>
          <w:szCs w:val="24"/>
        </w:rPr>
      </w:pPr>
      <w:proofErr w:type="gramStart"/>
      <w:r w:rsidRPr="007E01C1">
        <w:rPr>
          <w:rFonts w:ascii="Times New Roman" w:hAnsi="Times New Roman"/>
          <w:sz w:val="24"/>
          <w:szCs w:val="24"/>
        </w:rPr>
        <w:t xml:space="preserve">Внести изменения в государственную программу Амурской области «Повышение эффективности деятельности органов государственной власти и управления Амурской области на 2014-2020 годы» в части уточнения значений планового показателя - отношение государственного долга Амурской области к налоговым и неналоговым доходам областного бюджета и </w:t>
      </w:r>
      <w:r w:rsidR="00A60490" w:rsidRPr="007E01C1">
        <w:rPr>
          <w:rFonts w:ascii="Times New Roman" w:hAnsi="Times New Roman"/>
          <w:sz w:val="24"/>
          <w:szCs w:val="24"/>
        </w:rPr>
        <w:t>его</w:t>
      </w:r>
      <w:r w:rsidRPr="007E01C1">
        <w:rPr>
          <w:rFonts w:ascii="Times New Roman" w:hAnsi="Times New Roman"/>
          <w:sz w:val="24"/>
          <w:szCs w:val="24"/>
        </w:rPr>
        <w:t xml:space="preserve"> определения в соответствии с параметрами, определенными в Основных направлениях бюджетной и налоговой политики области на 2015-2017 годы.</w:t>
      </w:r>
      <w:proofErr w:type="gramEnd"/>
    </w:p>
    <w:p w:rsidR="00696B03" w:rsidRPr="007E01C1" w:rsidRDefault="009261EB" w:rsidP="007C54A1">
      <w:pPr>
        <w:pStyle w:val="ad"/>
        <w:numPr>
          <w:ilvl w:val="0"/>
          <w:numId w:val="22"/>
        </w:numPr>
        <w:tabs>
          <w:tab w:val="left" w:pos="1276"/>
        </w:tabs>
        <w:spacing w:after="0" w:line="240" w:lineRule="auto"/>
        <w:ind w:left="0" w:firstLine="851"/>
        <w:jc w:val="both"/>
        <w:rPr>
          <w:rFonts w:ascii="Times New Roman" w:hAnsi="Times New Roman"/>
          <w:sz w:val="24"/>
          <w:szCs w:val="24"/>
        </w:rPr>
      </w:pPr>
      <w:r w:rsidRPr="007E01C1">
        <w:rPr>
          <w:rFonts w:ascii="Times New Roman" w:hAnsi="Times New Roman"/>
          <w:sz w:val="24"/>
          <w:szCs w:val="24"/>
        </w:rPr>
        <w:t>В целях сокращения расходов на обслуживание государственного долга Амурской области принять меры по частичному замещению кредитов кредитных организаций бюджетными кредитами из федерального бюджета.</w:t>
      </w:r>
    </w:p>
    <w:p w:rsidR="00D322BA" w:rsidRPr="007E01C1" w:rsidRDefault="00D322BA" w:rsidP="007C54A1">
      <w:pPr>
        <w:pStyle w:val="ad"/>
        <w:numPr>
          <w:ilvl w:val="0"/>
          <w:numId w:val="22"/>
        </w:numPr>
        <w:tabs>
          <w:tab w:val="left" w:pos="1276"/>
        </w:tabs>
        <w:spacing w:after="0" w:line="240" w:lineRule="auto"/>
        <w:ind w:left="0" w:firstLine="851"/>
        <w:jc w:val="both"/>
        <w:rPr>
          <w:rFonts w:ascii="Times New Roman" w:eastAsiaTheme="minorHAnsi" w:hAnsi="Times New Roman"/>
          <w:sz w:val="24"/>
          <w:szCs w:val="24"/>
        </w:rPr>
      </w:pPr>
      <w:r w:rsidRPr="007E01C1">
        <w:rPr>
          <w:rFonts w:ascii="Times New Roman" w:eastAsiaTheme="minorHAnsi" w:hAnsi="Times New Roman"/>
          <w:sz w:val="24"/>
          <w:szCs w:val="24"/>
        </w:rPr>
        <w:t xml:space="preserve">Рассмотреть возможность </w:t>
      </w:r>
      <w:r w:rsidR="00A60490" w:rsidRPr="007E01C1">
        <w:rPr>
          <w:rFonts w:ascii="Times New Roman" w:eastAsiaTheme="minorHAnsi" w:hAnsi="Times New Roman"/>
          <w:sz w:val="24"/>
          <w:szCs w:val="24"/>
        </w:rPr>
        <w:t>перехода к преимущественному</w:t>
      </w:r>
      <w:r w:rsidR="000D5F02" w:rsidRPr="007E01C1">
        <w:rPr>
          <w:rFonts w:ascii="Times New Roman" w:eastAsiaTheme="minorHAnsi" w:hAnsi="Times New Roman"/>
          <w:sz w:val="24"/>
          <w:szCs w:val="24"/>
        </w:rPr>
        <w:t xml:space="preserve"> распределению</w:t>
      </w:r>
      <w:r w:rsidRPr="007E01C1">
        <w:rPr>
          <w:rFonts w:ascii="Times New Roman" w:eastAsiaTheme="minorHAnsi" w:hAnsi="Times New Roman"/>
          <w:sz w:val="24"/>
          <w:szCs w:val="24"/>
        </w:rPr>
        <w:t xml:space="preserve"> субсидий местным бюджетам </w:t>
      </w:r>
      <w:r w:rsidR="000D5F02" w:rsidRPr="007E01C1">
        <w:rPr>
          <w:rFonts w:ascii="Times New Roman" w:eastAsiaTheme="minorHAnsi" w:hAnsi="Times New Roman"/>
          <w:sz w:val="24"/>
          <w:szCs w:val="24"/>
        </w:rPr>
        <w:t>законом об областном бюджете.</w:t>
      </w:r>
    </w:p>
    <w:p w:rsidR="00130271" w:rsidRPr="00AB7E11" w:rsidRDefault="00130271" w:rsidP="00AB7E11">
      <w:pPr>
        <w:tabs>
          <w:tab w:val="left" w:pos="1134"/>
          <w:tab w:val="left" w:pos="1276"/>
        </w:tabs>
        <w:spacing w:after="0" w:line="240" w:lineRule="auto"/>
        <w:ind w:firstLine="709"/>
        <w:jc w:val="both"/>
        <w:outlineLvl w:val="0"/>
        <w:rPr>
          <w:rFonts w:ascii="Times New Roman" w:hAnsi="Times New Roman"/>
          <w:sz w:val="24"/>
          <w:szCs w:val="24"/>
        </w:rPr>
      </w:pPr>
      <w:r w:rsidRPr="00AB7E11">
        <w:rPr>
          <w:rFonts w:ascii="Times New Roman" w:hAnsi="Times New Roman"/>
          <w:sz w:val="24"/>
          <w:szCs w:val="24"/>
        </w:rPr>
        <w:t>В ходе исполнения областного бюджета в 2015 году рассмотреть вопрос об уточнении прогнозируемых объемов доходов областного бюджета на 2015</w:t>
      </w:r>
      <w:r w:rsidR="007E01C1" w:rsidRPr="00AB7E11">
        <w:rPr>
          <w:rFonts w:ascii="Times New Roman" w:hAnsi="Times New Roman"/>
          <w:sz w:val="24"/>
          <w:szCs w:val="24"/>
        </w:rPr>
        <w:t xml:space="preserve"> год в части поступлений:</w:t>
      </w:r>
    </w:p>
    <w:p w:rsidR="00130271" w:rsidRPr="007E01C1" w:rsidRDefault="00130271" w:rsidP="00AB7E11">
      <w:pPr>
        <w:pStyle w:val="ad"/>
        <w:numPr>
          <w:ilvl w:val="0"/>
          <w:numId w:val="39"/>
        </w:numPr>
        <w:tabs>
          <w:tab w:val="left" w:pos="1134"/>
        </w:tabs>
        <w:spacing w:after="0" w:line="240" w:lineRule="auto"/>
        <w:ind w:left="0" w:firstLine="851"/>
        <w:jc w:val="both"/>
        <w:rPr>
          <w:rFonts w:ascii="Times New Roman" w:hAnsi="Times New Roman"/>
          <w:sz w:val="24"/>
          <w:szCs w:val="24"/>
        </w:rPr>
      </w:pPr>
      <w:r w:rsidRPr="007E01C1">
        <w:rPr>
          <w:rFonts w:ascii="Times New Roman" w:hAnsi="Times New Roman"/>
          <w:sz w:val="24"/>
          <w:szCs w:val="24"/>
        </w:rPr>
        <w:t>по налогу на добычу общераспространенных полезных ископаемых, налогу на добычу прочих полезных ископаемых с учетом налога на добычу полезных ископаемых в виде угля по данным администратора доходов областного бюджета;</w:t>
      </w:r>
    </w:p>
    <w:p w:rsidR="00130271" w:rsidRPr="007E01C1" w:rsidRDefault="00130271" w:rsidP="00AB7E11">
      <w:pPr>
        <w:pStyle w:val="ad"/>
        <w:numPr>
          <w:ilvl w:val="0"/>
          <w:numId w:val="39"/>
        </w:numPr>
        <w:tabs>
          <w:tab w:val="left" w:pos="1134"/>
        </w:tabs>
        <w:spacing w:after="0" w:line="240" w:lineRule="auto"/>
        <w:ind w:left="0" w:firstLine="851"/>
        <w:jc w:val="both"/>
        <w:outlineLvl w:val="0"/>
        <w:rPr>
          <w:rFonts w:ascii="Times New Roman" w:hAnsi="Times New Roman"/>
          <w:sz w:val="24"/>
          <w:szCs w:val="24"/>
        </w:rPr>
      </w:pPr>
      <w:r w:rsidRPr="007E01C1">
        <w:rPr>
          <w:rFonts w:ascii="Times New Roman" w:hAnsi="Times New Roman"/>
          <w:sz w:val="24"/>
          <w:szCs w:val="24"/>
        </w:rPr>
        <w:t>государственной пошлины с учетом изменений бюджетного законодательства, вступающих в силу с 1 января 2015 года;</w:t>
      </w:r>
    </w:p>
    <w:p w:rsidR="00130271" w:rsidRPr="007E01C1" w:rsidRDefault="00130271" w:rsidP="00AB7E11">
      <w:pPr>
        <w:pStyle w:val="ad"/>
        <w:numPr>
          <w:ilvl w:val="0"/>
          <w:numId w:val="39"/>
        </w:numPr>
        <w:tabs>
          <w:tab w:val="left" w:pos="1134"/>
        </w:tabs>
        <w:spacing w:after="0" w:line="240" w:lineRule="auto"/>
        <w:ind w:left="0" w:firstLine="851"/>
        <w:jc w:val="both"/>
        <w:outlineLvl w:val="0"/>
        <w:rPr>
          <w:rFonts w:ascii="Times New Roman" w:hAnsi="Times New Roman"/>
          <w:sz w:val="24"/>
          <w:szCs w:val="24"/>
        </w:rPr>
      </w:pPr>
      <w:r w:rsidRPr="007E01C1">
        <w:rPr>
          <w:rFonts w:ascii="Times New Roman" w:hAnsi="Times New Roman"/>
          <w:sz w:val="24"/>
          <w:szCs w:val="24"/>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p w:rsidR="00130271" w:rsidRPr="007E01C1" w:rsidRDefault="00130271" w:rsidP="00AB7E11">
      <w:pPr>
        <w:pStyle w:val="ad"/>
        <w:numPr>
          <w:ilvl w:val="0"/>
          <w:numId w:val="39"/>
        </w:numPr>
        <w:tabs>
          <w:tab w:val="left" w:pos="1134"/>
        </w:tabs>
        <w:spacing w:after="0" w:line="240" w:lineRule="auto"/>
        <w:ind w:left="0" w:firstLine="851"/>
        <w:jc w:val="both"/>
        <w:outlineLvl w:val="0"/>
        <w:rPr>
          <w:rFonts w:ascii="Times New Roman" w:hAnsi="Times New Roman"/>
          <w:sz w:val="24"/>
          <w:szCs w:val="24"/>
        </w:rPr>
      </w:pPr>
      <w:r w:rsidRPr="007E01C1">
        <w:rPr>
          <w:rFonts w:ascii="Times New Roman" w:hAnsi="Times New Roman"/>
          <w:sz w:val="24"/>
          <w:szCs w:val="24"/>
        </w:rPr>
        <w:t>доходов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p w:rsidR="004C2E5E" w:rsidRDefault="004C2E5E" w:rsidP="004C2E5E">
      <w:pPr>
        <w:tabs>
          <w:tab w:val="left" w:pos="720"/>
          <w:tab w:val="left" w:pos="9656"/>
        </w:tabs>
        <w:spacing w:after="0" w:line="240" w:lineRule="auto"/>
        <w:ind w:firstLine="709"/>
        <w:jc w:val="both"/>
        <w:rPr>
          <w:rFonts w:ascii="Times New Roman" w:hAnsi="Times New Roman"/>
          <w:sz w:val="24"/>
          <w:szCs w:val="24"/>
        </w:rPr>
      </w:pPr>
    </w:p>
    <w:p w:rsidR="00B50619" w:rsidRDefault="004657F7" w:rsidP="004657F7">
      <w:pPr>
        <w:tabs>
          <w:tab w:val="left" w:pos="720"/>
          <w:tab w:val="left" w:pos="9656"/>
        </w:tabs>
        <w:spacing w:after="0" w:line="240" w:lineRule="auto"/>
        <w:jc w:val="both"/>
        <w:rPr>
          <w:rFonts w:ascii="Times New Roman" w:hAnsi="Times New Roman"/>
          <w:sz w:val="24"/>
          <w:szCs w:val="24"/>
        </w:rPr>
      </w:pPr>
      <w:r>
        <w:rPr>
          <w:rFonts w:ascii="Times New Roman" w:hAnsi="Times New Roman"/>
          <w:sz w:val="24"/>
          <w:szCs w:val="24"/>
        </w:rPr>
        <w:t>Председатель                                                                                                                О.М. Бродская</w:t>
      </w:r>
    </w:p>
    <w:sectPr w:rsidR="00B50619" w:rsidSect="008016B6">
      <w:footerReference w:type="default" r:id="rId4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67" w:rsidRDefault="00FD7267" w:rsidP="006A0FD7">
      <w:pPr>
        <w:spacing w:after="0" w:line="240" w:lineRule="auto"/>
      </w:pPr>
      <w:r>
        <w:separator/>
      </w:r>
    </w:p>
  </w:endnote>
  <w:endnote w:type="continuationSeparator" w:id="0">
    <w:p w:rsidR="00FD7267" w:rsidRDefault="00FD7267" w:rsidP="006A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72200"/>
      <w:docPartObj>
        <w:docPartGallery w:val="Page Numbers (Bottom of Page)"/>
        <w:docPartUnique/>
      </w:docPartObj>
    </w:sdtPr>
    <w:sdtEndPr/>
    <w:sdtContent>
      <w:p w:rsidR="00C72C79" w:rsidRDefault="00C72C79">
        <w:pPr>
          <w:pStyle w:val="aa"/>
          <w:jc w:val="center"/>
        </w:pPr>
        <w:r w:rsidRPr="00C85B48">
          <w:rPr>
            <w:rFonts w:ascii="Times New Roman" w:hAnsi="Times New Roman"/>
          </w:rPr>
          <w:fldChar w:fldCharType="begin"/>
        </w:r>
        <w:r w:rsidRPr="00C85B48">
          <w:rPr>
            <w:rFonts w:ascii="Times New Roman" w:hAnsi="Times New Roman"/>
          </w:rPr>
          <w:instrText>PAGE   \* MERGEFORMAT</w:instrText>
        </w:r>
        <w:r w:rsidRPr="00C85B48">
          <w:rPr>
            <w:rFonts w:ascii="Times New Roman" w:hAnsi="Times New Roman"/>
          </w:rPr>
          <w:fldChar w:fldCharType="separate"/>
        </w:r>
        <w:r w:rsidR="000D429A">
          <w:rPr>
            <w:rFonts w:ascii="Times New Roman" w:hAnsi="Times New Roman"/>
            <w:noProof/>
          </w:rPr>
          <w:t>53</w:t>
        </w:r>
        <w:r w:rsidRPr="00C85B48">
          <w:rPr>
            <w:rFonts w:ascii="Times New Roman" w:hAnsi="Times New Roman"/>
          </w:rPr>
          <w:fldChar w:fldCharType="end"/>
        </w:r>
      </w:p>
    </w:sdtContent>
  </w:sdt>
  <w:p w:rsidR="00C72C79" w:rsidRDefault="00C72C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67" w:rsidRDefault="00FD7267" w:rsidP="006A0FD7">
      <w:pPr>
        <w:spacing w:after="0" w:line="240" w:lineRule="auto"/>
      </w:pPr>
      <w:r>
        <w:separator/>
      </w:r>
    </w:p>
  </w:footnote>
  <w:footnote w:type="continuationSeparator" w:id="0">
    <w:p w:rsidR="00FD7267" w:rsidRDefault="00FD7267" w:rsidP="006A0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D5"/>
    <w:multiLevelType w:val="hybridMultilevel"/>
    <w:tmpl w:val="E3A016DC"/>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2592DE6"/>
    <w:multiLevelType w:val="hybridMultilevel"/>
    <w:tmpl w:val="E780BFFC"/>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785C43"/>
    <w:multiLevelType w:val="hybridMultilevel"/>
    <w:tmpl w:val="891C7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6771D2"/>
    <w:multiLevelType w:val="hybridMultilevel"/>
    <w:tmpl w:val="CE0A011C"/>
    <w:lvl w:ilvl="0" w:tplc="93EC27D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C24CE4"/>
    <w:multiLevelType w:val="hybridMultilevel"/>
    <w:tmpl w:val="0D969FBC"/>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745C9A"/>
    <w:multiLevelType w:val="hybridMultilevel"/>
    <w:tmpl w:val="7DDCC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9E5807"/>
    <w:multiLevelType w:val="hybridMultilevel"/>
    <w:tmpl w:val="73E0B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63412"/>
    <w:multiLevelType w:val="hybridMultilevel"/>
    <w:tmpl w:val="87A8B4E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4D1286"/>
    <w:multiLevelType w:val="hybridMultilevel"/>
    <w:tmpl w:val="871CDB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91397A"/>
    <w:multiLevelType w:val="hybridMultilevel"/>
    <w:tmpl w:val="9C0048BC"/>
    <w:lvl w:ilvl="0" w:tplc="A7A28E44">
      <w:start w:val="1"/>
      <w:numFmt w:val="bullet"/>
      <w:lvlText w:val=""/>
      <w:lvlJc w:val="left"/>
      <w:pPr>
        <w:tabs>
          <w:tab w:val="num" w:pos="96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B05F1B"/>
    <w:multiLevelType w:val="hybridMultilevel"/>
    <w:tmpl w:val="C0C26C0C"/>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A3092"/>
    <w:multiLevelType w:val="hybridMultilevel"/>
    <w:tmpl w:val="3D30D862"/>
    <w:lvl w:ilvl="0" w:tplc="2BACBE4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CE16BCD"/>
    <w:multiLevelType w:val="multilevel"/>
    <w:tmpl w:val="2B3A97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D566B0E"/>
    <w:multiLevelType w:val="hybridMultilevel"/>
    <w:tmpl w:val="6B88DF90"/>
    <w:lvl w:ilvl="0" w:tplc="D582817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A641B6"/>
    <w:multiLevelType w:val="hybridMultilevel"/>
    <w:tmpl w:val="4534339C"/>
    <w:lvl w:ilvl="0" w:tplc="2BACBE44">
      <w:start w:val="1"/>
      <w:numFmt w:val="bullet"/>
      <w:lvlText w:val=""/>
      <w:lvlJc w:val="left"/>
      <w:pPr>
        <w:tabs>
          <w:tab w:val="num" w:pos="964"/>
        </w:tabs>
        <w:ind w:left="0" w:firstLine="68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15803D4"/>
    <w:multiLevelType w:val="hybridMultilevel"/>
    <w:tmpl w:val="531A8482"/>
    <w:lvl w:ilvl="0" w:tplc="2BACB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3B11CA"/>
    <w:multiLevelType w:val="hybridMultilevel"/>
    <w:tmpl w:val="4A643426"/>
    <w:lvl w:ilvl="0" w:tplc="D582817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5D5D75"/>
    <w:multiLevelType w:val="hybridMultilevel"/>
    <w:tmpl w:val="2A86B934"/>
    <w:lvl w:ilvl="0" w:tplc="701665E4">
      <w:start w:val="1"/>
      <w:numFmt w:val="bullet"/>
      <w:lvlText w:val=""/>
      <w:lvlJc w:val="left"/>
      <w:pPr>
        <w:tabs>
          <w:tab w:val="num" w:pos="96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81344D"/>
    <w:multiLevelType w:val="multilevel"/>
    <w:tmpl w:val="9CAAD71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4C2C7084"/>
    <w:multiLevelType w:val="hybridMultilevel"/>
    <w:tmpl w:val="863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71975"/>
    <w:multiLevelType w:val="hybridMultilevel"/>
    <w:tmpl w:val="8DA0975A"/>
    <w:lvl w:ilvl="0" w:tplc="0C78C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243059"/>
    <w:multiLevelType w:val="hybridMultilevel"/>
    <w:tmpl w:val="27346C28"/>
    <w:lvl w:ilvl="0" w:tplc="93EC27D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0D4DE9"/>
    <w:multiLevelType w:val="hybridMultilevel"/>
    <w:tmpl w:val="66486B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576644"/>
    <w:multiLevelType w:val="hybridMultilevel"/>
    <w:tmpl w:val="FDB00B88"/>
    <w:lvl w:ilvl="0" w:tplc="D582817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8A7251"/>
    <w:multiLevelType w:val="hybridMultilevel"/>
    <w:tmpl w:val="AC1A043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9FB2C6F"/>
    <w:multiLevelType w:val="hybridMultilevel"/>
    <w:tmpl w:val="C4B4A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646549"/>
    <w:multiLevelType w:val="hybridMultilevel"/>
    <w:tmpl w:val="EF788312"/>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CF33B6"/>
    <w:multiLevelType w:val="hybridMultilevel"/>
    <w:tmpl w:val="F162C836"/>
    <w:lvl w:ilvl="0" w:tplc="4CAE3C32">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abstractNum w:abstractNumId="28">
    <w:nsid w:val="5F2018C7"/>
    <w:multiLevelType w:val="hybridMultilevel"/>
    <w:tmpl w:val="63949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0813F7"/>
    <w:multiLevelType w:val="hybridMultilevel"/>
    <w:tmpl w:val="6150D8B8"/>
    <w:lvl w:ilvl="0" w:tplc="8414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8F42A7"/>
    <w:multiLevelType w:val="hybridMultilevel"/>
    <w:tmpl w:val="665A24B2"/>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75C96E68"/>
    <w:multiLevelType w:val="hybridMultilevel"/>
    <w:tmpl w:val="DAE88E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65D1A38"/>
    <w:multiLevelType w:val="hybridMultilevel"/>
    <w:tmpl w:val="3CCAA20A"/>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795B3F"/>
    <w:multiLevelType w:val="hybridMultilevel"/>
    <w:tmpl w:val="76ECD426"/>
    <w:lvl w:ilvl="0" w:tplc="D582817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EC69C1"/>
    <w:multiLevelType w:val="hybridMultilevel"/>
    <w:tmpl w:val="DCF427FE"/>
    <w:lvl w:ilvl="0" w:tplc="4CAE3C3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E52B8E"/>
    <w:multiLevelType w:val="hybridMultilevel"/>
    <w:tmpl w:val="3ED01F34"/>
    <w:lvl w:ilvl="0" w:tplc="D582817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C840D3"/>
    <w:multiLevelType w:val="hybridMultilevel"/>
    <w:tmpl w:val="499093F2"/>
    <w:lvl w:ilvl="0" w:tplc="841463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920B48"/>
    <w:multiLevelType w:val="hybridMultilevel"/>
    <w:tmpl w:val="DBCE1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FB80E5E"/>
    <w:multiLevelType w:val="hybridMultilevel"/>
    <w:tmpl w:val="36B2A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7"/>
  </w:num>
  <w:num w:numId="3">
    <w:abstractNumId w:val="9"/>
  </w:num>
  <w:num w:numId="4">
    <w:abstractNumId w:val="10"/>
  </w:num>
  <w:num w:numId="5">
    <w:abstractNumId w:val="26"/>
  </w:num>
  <w:num w:numId="6">
    <w:abstractNumId w:val="8"/>
  </w:num>
  <w:num w:numId="7">
    <w:abstractNumId w:val="0"/>
  </w:num>
  <w:num w:numId="8">
    <w:abstractNumId w:val="27"/>
  </w:num>
  <w:num w:numId="9">
    <w:abstractNumId w:val="36"/>
  </w:num>
  <w:num w:numId="10">
    <w:abstractNumId w:val="34"/>
  </w:num>
  <w:num w:numId="11">
    <w:abstractNumId w:val="28"/>
  </w:num>
  <w:num w:numId="12">
    <w:abstractNumId w:val="32"/>
  </w:num>
  <w:num w:numId="13">
    <w:abstractNumId w:val="24"/>
  </w:num>
  <w:num w:numId="14">
    <w:abstractNumId w:val="12"/>
  </w:num>
  <w:num w:numId="15">
    <w:abstractNumId w:val="11"/>
  </w:num>
  <w:num w:numId="16">
    <w:abstractNumId w:val="4"/>
  </w:num>
  <w:num w:numId="17">
    <w:abstractNumId w:val="21"/>
  </w:num>
  <w:num w:numId="18">
    <w:abstractNumId w:val="1"/>
  </w:num>
  <w:num w:numId="19">
    <w:abstractNumId w:val="18"/>
  </w:num>
  <w:num w:numId="20">
    <w:abstractNumId w:val="15"/>
  </w:num>
  <w:num w:numId="21">
    <w:abstractNumId w:val="29"/>
  </w:num>
  <w:num w:numId="22">
    <w:abstractNumId w:val="38"/>
  </w:num>
  <w:num w:numId="23">
    <w:abstractNumId w:val="19"/>
  </w:num>
  <w:num w:numId="24">
    <w:abstractNumId w:val="20"/>
  </w:num>
  <w:num w:numId="25">
    <w:abstractNumId w:val="5"/>
  </w:num>
  <w:num w:numId="26">
    <w:abstractNumId w:val="35"/>
  </w:num>
  <w:num w:numId="27">
    <w:abstractNumId w:val="23"/>
  </w:num>
  <w:num w:numId="28">
    <w:abstractNumId w:val="13"/>
  </w:num>
  <w:num w:numId="29">
    <w:abstractNumId w:val="30"/>
  </w:num>
  <w:num w:numId="30">
    <w:abstractNumId w:val="22"/>
  </w:num>
  <w:num w:numId="31">
    <w:abstractNumId w:val="16"/>
  </w:num>
  <w:num w:numId="32">
    <w:abstractNumId w:val="33"/>
  </w:num>
  <w:num w:numId="33">
    <w:abstractNumId w:val="3"/>
  </w:num>
  <w:num w:numId="34">
    <w:abstractNumId w:val="7"/>
  </w:num>
  <w:num w:numId="35">
    <w:abstractNumId w:val="6"/>
  </w:num>
  <w:num w:numId="36">
    <w:abstractNumId w:val="37"/>
  </w:num>
  <w:num w:numId="37">
    <w:abstractNumId w:val="2"/>
  </w:num>
  <w:num w:numId="38">
    <w:abstractNumId w:val="25"/>
  </w:num>
  <w:num w:numId="39">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AB"/>
    <w:rsid w:val="00000921"/>
    <w:rsid w:val="00000C60"/>
    <w:rsid w:val="00003CA3"/>
    <w:rsid w:val="00025292"/>
    <w:rsid w:val="00025933"/>
    <w:rsid w:val="00032124"/>
    <w:rsid w:val="00032D21"/>
    <w:rsid w:val="00033D10"/>
    <w:rsid w:val="00040B06"/>
    <w:rsid w:val="0005569B"/>
    <w:rsid w:val="00056F63"/>
    <w:rsid w:val="00065C2B"/>
    <w:rsid w:val="00074BDE"/>
    <w:rsid w:val="00076E6B"/>
    <w:rsid w:val="00083EE0"/>
    <w:rsid w:val="00084569"/>
    <w:rsid w:val="00084E58"/>
    <w:rsid w:val="00087AF5"/>
    <w:rsid w:val="00093A18"/>
    <w:rsid w:val="00094E43"/>
    <w:rsid w:val="00096D75"/>
    <w:rsid w:val="000A4FD9"/>
    <w:rsid w:val="000A7A19"/>
    <w:rsid w:val="000B2DD8"/>
    <w:rsid w:val="000B3505"/>
    <w:rsid w:val="000C37A3"/>
    <w:rsid w:val="000C7870"/>
    <w:rsid w:val="000D429A"/>
    <w:rsid w:val="000D4F6F"/>
    <w:rsid w:val="000D5703"/>
    <w:rsid w:val="000D5F02"/>
    <w:rsid w:val="000E01EE"/>
    <w:rsid w:val="000E0624"/>
    <w:rsid w:val="000E1151"/>
    <w:rsid w:val="000E373E"/>
    <w:rsid w:val="000E5191"/>
    <w:rsid w:val="000E7090"/>
    <w:rsid w:val="0010197E"/>
    <w:rsid w:val="00103221"/>
    <w:rsid w:val="00105314"/>
    <w:rsid w:val="00113CFE"/>
    <w:rsid w:val="00130271"/>
    <w:rsid w:val="00140F08"/>
    <w:rsid w:val="00144B8F"/>
    <w:rsid w:val="00152A47"/>
    <w:rsid w:val="00154D11"/>
    <w:rsid w:val="00157320"/>
    <w:rsid w:val="00163FB2"/>
    <w:rsid w:val="0017273D"/>
    <w:rsid w:val="00180E0D"/>
    <w:rsid w:val="00180FA2"/>
    <w:rsid w:val="0018454E"/>
    <w:rsid w:val="001930B7"/>
    <w:rsid w:val="001A75A1"/>
    <w:rsid w:val="001B0457"/>
    <w:rsid w:val="001B1A89"/>
    <w:rsid w:val="001C1E30"/>
    <w:rsid w:val="001C47AB"/>
    <w:rsid w:val="001D10A6"/>
    <w:rsid w:val="001D648B"/>
    <w:rsid w:val="001F47C9"/>
    <w:rsid w:val="002035B3"/>
    <w:rsid w:val="00210EBE"/>
    <w:rsid w:val="002258AC"/>
    <w:rsid w:val="00234B5C"/>
    <w:rsid w:val="00236995"/>
    <w:rsid w:val="00236E18"/>
    <w:rsid w:val="00237486"/>
    <w:rsid w:val="00245685"/>
    <w:rsid w:val="00246ADB"/>
    <w:rsid w:val="00250A85"/>
    <w:rsid w:val="00252662"/>
    <w:rsid w:val="0025563D"/>
    <w:rsid w:val="00255B36"/>
    <w:rsid w:val="00266479"/>
    <w:rsid w:val="00273C3D"/>
    <w:rsid w:val="0028723C"/>
    <w:rsid w:val="002C601C"/>
    <w:rsid w:val="002F0580"/>
    <w:rsid w:val="00300709"/>
    <w:rsid w:val="00304FE8"/>
    <w:rsid w:val="00312A95"/>
    <w:rsid w:val="0031421A"/>
    <w:rsid w:val="0031794C"/>
    <w:rsid w:val="00321BA1"/>
    <w:rsid w:val="00321EE0"/>
    <w:rsid w:val="00324818"/>
    <w:rsid w:val="00376874"/>
    <w:rsid w:val="00381033"/>
    <w:rsid w:val="00384445"/>
    <w:rsid w:val="00384E17"/>
    <w:rsid w:val="00391417"/>
    <w:rsid w:val="003925EC"/>
    <w:rsid w:val="003957AF"/>
    <w:rsid w:val="003B30EE"/>
    <w:rsid w:val="003E7AE0"/>
    <w:rsid w:val="003F0E55"/>
    <w:rsid w:val="00400454"/>
    <w:rsid w:val="0040223C"/>
    <w:rsid w:val="00413658"/>
    <w:rsid w:val="00425B92"/>
    <w:rsid w:val="00430522"/>
    <w:rsid w:val="00434945"/>
    <w:rsid w:val="00441D48"/>
    <w:rsid w:val="00445499"/>
    <w:rsid w:val="00447C24"/>
    <w:rsid w:val="004568AA"/>
    <w:rsid w:val="004605D5"/>
    <w:rsid w:val="004657F7"/>
    <w:rsid w:val="004727C4"/>
    <w:rsid w:val="004729AD"/>
    <w:rsid w:val="00484019"/>
    <w:rsid w:val="004855BA"/>
    <w:rsid w:val="00492137"/>
    <w:rsid w:val="004A345A"/>
    <w:rsid w:val="004B4162"/>
    <w:rsid w:val="004C2E5E"/>
    <w:rsid w:val="004C7443"/>
    <w:rsid w:val="004D2642"/>
    <w:rsid w:val="004F77E7"/>
    <w:rsid w:val="00513D81"/>
    <w:rsid w:val="00525096"/>
    <w:rsid w:val="005250BF"/>
    <w:rsid w:val="005253D8"/>
    <w:rsid w:val="005524F6"/>
    <w:rsid w:val="00554580"/>
    <w:rsid w:val="00556635"/>
    <w:rsid w:val="00557DA3"/>
    <w:rsid w:val="0056363E"/>
    <w:rsid w:val="00565FBF"/>
    <w:rsid w:val="00566179"/>
    <w:rsid w:val="00571803"/>
    <w:rsid w:val="00571E77"/>
    <w:rsid w:val="00577221"/>
    <w:rsid w:val="00577B1D"/>
    <w:rsid w:val="00581F44"/>
    <w:rsid w:val="0058718B"/>
    <w:rsid w:val="005878C6"/>
    <w:rsid w:val="005911F1"/>
    <w:rsid w:val="00593BE5"/>
    <w:rsid w:val="005A2589"/>
    <w:rsid w:val="005B4A38"/>
    <w:rsid w:val="005B79ED"/>
    <w:rsid w:val="005C2AB8"/>
    <w:rsid w:val="005D0232"/>
    <w:rsid w:val="005D4567"/>
    <w:rsid w:val="005E18C4"/>
    <w:rsid w:val="00610055"/>
    <w:rsid w:val="00611035"/>
    <w:rsid w:val="00614157"/>
    <w:rsid w:val="00622CEE"/>
    <w:rsid w:val="00633E92"/>
    <w:rsid w:val="00642751"/>
    <w:rsid w:val="00646ED1"/>
    <w:rsid w:val="006502BA"/>
    <w:rsid w:val="00652B29"/>
    <w:rsid w:val="006608DD"/>
    <w:rsid w:val="006622A1"/>
    <w:rsid w:val="00662947"/>
    <w:rsid w:val="00666091"/>
    <w:rsid w:val="00667AEF"/>
    <w:rsid w:val="006745E2"/>
    <w:rsid w:val="006754BC"/>
    <w:rsid w:val="00692C12"/>
    <w:rsid w:val="00696B03"/>
    <w:rsid w:val="006A0FD7"/>
    <w:rsid w:val="006A227B"/>
    <w:rsid w:val="006A6A4A"/>
    <w:rsid w:val="006B008B"/>
    <w:rsid w:val="006B6D09"/>
    <w:rsid w:val="006C1330"/>
    <w:rsid w:val="006C5C3E"/>
    <w:rsid w:val="006C69BB"/>
    <w:rsid w:val="006D06EC"/>
    <w:rsid w:val="006D5B1A"/>
    <w:rsid w:val="006E018E"/>
    <w:rsid w:val="006E03D4"/>
    <w:rsid w:val="006E620B"/>
    <w:rsid w:val="006F28FB"/>
    <w:rsid w:val="00702054"/>
    <w:rsid w:val="00705E17"/>
    <w:rsid w:val="00706DA1"/>
    <w:rsid w:val="00707C0E"/>
    <w:rsid w:val="00710CE3"/>
    <w:rsid w:val="0072653B"/>
    <w:rsid w:val="007307DF"/>
    <w:rsid w:val="00730BD2"/>
    <w:rsid w:val="00731C7E"/>
    <w:rsid w:val="0073292E"/>
    <w:rsid w:val="00740E68"/>
    <w:rsid w:val="00745189"/>
    <w:rsid w:val="007464F7"/>
    <w:rsid w:val="0075046B"/>
    <w:rsid w:val="007553E4"/>
    <w:rsid w:val="00757400"/>
    <w:rsid w:val="0076474F"/>
    <w:rsid w:val="0077212D"/>
    <w:rsid w:val="007745C9"/>
    <w:rsid w:val="0077568D"/>
    <w:rsid w:val="00783462"/>
    <w:rsid w:val="00793C19"/>
    <w:rsid w:val="00795491"/>
    <w:rsid w:val="00795FC7"/>
    <w:rsid w:val="00797CA3"/>
    <w:rsid w:val="007A2A00"/>
    <w:rsid w:val="007A7BBB"/>
    <w:rsid w:val="007B10AA"/>
    <w:rsid w:val="007B6C83"/>
    <w:rsid w:val="007C54A1"/>
    <w:rsid w:val="007D1F00"/>
    <w:rsid w:val="007D7D01"/>
    <w:rsid w:val="007E01C1"/>
    <w:rsid w:val="007E174C"/>
    <w:rsid w:val="007E3C75"/>
    <w:rsid w:val="007F25BF"/>
    <w:rsid w:val="007F3176"/>
    <w:rsid w:val="007F44A6"/>
    <w:rsid w:val="00800532"/>
    <w:rsid w:val="008016B6"/>
    <w:rsid w:val="00822BAE"/>
    <w:rsid w:val="00833CF7"/>
    <w:rsid w:val="008341E0"/>
    <w:rsid w:val="00835167"/>
    <w:rsid w:val="00852B42"/>
    <w:rsid w:val="0087005D"/>
    <w:rsid w:val="00876FE9"/>
    <w:rsid w:val="0088255F"/>
    <w:rsid w:val="008849FA"/>
    <w:rsid w:val="00895F4B"/>
    <w:rsid w:val="008B25C6"/>
    <w:rsid w:val="008B640E"/>
    <w:rsid w:val="008C07DB"/>
    <w:rsid w:val="008C67B1"/>
    <w:rsid w:val="008D1EA0"/>
    <w:rsid w:val="008D2316"/>
    <w:rsid w:val="008D28AD"/>
    <w:rsid w:val="008D416A"/>
    <w:rsid w:val="008D537F"/>
    <w:rsid w:val="008D58AB"/>
    <w:rsid w:val="008E4AD5"/>
    <w:rsid w:val="008F0BCB"/>
    <w:rsid w:val="008F3573"/>
    <w:rsid w:val="008F53CC"/>
    <w:rsid w:val="009112C3"/>
    <w:rsid w:val="009133FE"/>
    <w:rsid w:val="0091391B"/>
    <w:rsid w:val="0092054D"/>
    <w:rsid w:val="009261EB"/>
    <w:rsid w:val="009308AA"/>
    <w:rsid w:val="009326A6"/>
    <w:rsid w:val="0094116F"/>
    <w:rsid w:val="00970212"/>
    <w:rsid w:val="0098142D"/>
    <w:rsid w:val="009966C3"/>
    <w:rsid w:val="009A0E6D"/>
    <w:rsid w:val="009B19BB"/>
    <w:rsid w:val="009B3C5E"/>
    <w:rsid w:val="009B7FD7"/>
    <w:rsid w:val="009C1959"/>
    <w:rsid w:val="009C3313"/>
    <w:rsid w:val="009D4C3F"/>
    <w:rsid w:val="009F5D18"/>
    <w:rsid w:val="00A058A0"/>
    <w:rsid w:val="00A13057"/>
    <w:rsid w:val="00A20E77"/>
    <w:rsid w:val="00A231CD"/>
    <w:rsid w:val="00A244C8"/>
    <w:rsid w:val="00A2503D"/>
    <w:rsid w:val="00A2572F"/>
    <w:rsid w:val="00A32F79"/>
    <w:rsid w:val="00A33CE9"/>
    <w:rsid w:val="00A4694D"/>
    <w:rsid w:val="00A47687"/>
    <w:rsid w:val="00A60490"/>
    <w:rsid w:val="00A61169"/>
    <w:rsid w:val="00A61C2A"/>
    <w:rsid w:val="00A62C70"/>
    <w:rsid w:val="00A65A02"/>
    <w:rsid w:val="00A751C3"/>
    <w:rsid w:val="00A756E2"/>
    <w:rsid w:val="00A83574"/>
    <w:rsid w:val="00A944A1"/>
    <w:rsid w:val="00A947DF"/>
    <w:rsid w:val="00AA1CDC"/>
    <w:rsid w:val="00AA1D84"/>
    <w:rsid w:val="00AA4510"/>
    <w:rsid w:val="00AA49D1"/>
    <w:rsid w:val="00AB5E69"/>
    <w:rsid w:val="00AB7E11"/>
    <w:rsid w:val="00AD1E86"/>
    <w:rsid w:val="00AD1EFB"/>
    <w:rsid w:val="00AE02BC"/>
    <w:rsid w:val="00AF2725"/>
    <w:rsid w:val="00B00429"/>
    <w:rsid w:val="00B27DEB"/>
    <w:rsid w:val="00B50619"/>
    <w:rsid w:val="00B526D1"/>
    <w:rsid w:val="00B54A6B"/>
    <w:rsid w:val="00B66B5B"/>
    <w:rsid w:val="00B83088"/>
    <w:rsid w:val="00B840F1"/>
    <w:rsid w:val="00B84327"/>
    <w:rsid w:val="00B849A3"/>
    <w:rsid w:val="00B9042C"/>
    <w:rsid w:val="00B90B1A"/>
    <w:rsid w:val="00B97D9C"/>
    <w:rsid w:val="00BB03FC"/>
    <w:rsid w:val="00BB494E"/>
    <w:rsid w:val="00BD36CB"/>
    <w:rsid w:val="00BD38C4"/>
    <w:rsid w:val="00BD39C6"/>
    <w:rsid w:val="00BD4B2E"/>
    <w:rsid w:val="00BD655A"/>
    <w:rsid w:val="00BF3EF9"/>
    <w:rsid w:val="00C000C6"/>
    <w:rsid w:val="00C023A4"/>
    <w:rsid w:val="00C044BF"/>
    <w:rsid w:val="00C25755"/>
    <w:rsid w:val="00C52EE2"/>
    <w:rsid w:val="00C56B28"/>
    <w:rsid w:val="00C60AC6"/>
    <w:rsid w:val="00C634E6"/>
    <w:rsid w:val="00C72C79"/>
    <w:rsid w:val="00C823E5"/>
    <w:rsid w:val="00C83628"/>
    <w:rsid w:val="00C85B48"/>
    <w:rsid w:val="00C85D62"/>
    <w:rsid w:val="00C9324A"/>
    <w:rsid w:val="00C93B55"/>
    <w:rsid w:val="00C959BB"/>
    <w:rsid w:val="00C96915"/>
    <w:rsid w:val="00C974B8"/>
    <w:rsid w:val="00CA37C7"/>
    <w:rsid w:val="00CA401C"/>
    <w:rsid w:val="00CA4511"/>
    <w:rsid w:val="00CC2932"/>
    <w:rsid w:val="00CC4577"/>
    <w:rsid w:val="00CC55BB"/>
    <w:rsid w:val="00CD09D2"/>
    <w:rsid w:val="00CD3BC8"/>
    <w:rsid w:val="00CE0863"/>
    <w:rsid w:val="00CE1301"/>
    <w:rsid w:val="00CE33C6"/>
    <w:rsid w:val="00CE3D59"/>
    <w:rsid w:val="00CE4A67"/>
    <w:rsid w:val="00CE7CC4"/>
    <w:rsid w:val="00CF1179"/>
    <w:rsid w:val="00D0685C"/>
    <w:rsid w:val="00D07B76"/>
    <w:rsid w:val="00D14251"/>
    <w:rsid w:val="00D2344B"/>
    <w:rsid w:val="00D24D81"/>
    <w:rsid w:val="00D322BA"/>
    <w:rsid w:val="00D343A0"/>
    <w:rsid w:val="00D42ED7"/>
    <w:rsid w:val="00D5527D"/>
    <w:rsid w:val="00D67A26"/>
    <w:rsid w:val="00D704FA"/>
    <w:rsid w:val="00D8461E"/>
    <w:rsid w:val="00DA1C14"/>
    <w:rsid w:val="00DA5F4F"/>
    <w:rsid w:val="00DA725A"/>
    <w:rsid w:val="00DC233D"/>
    <w:rsid w:val="00DC2785"/>
    <w:rsid w:val="00DC3353"/>
    <w:rsid w:val="00DC78A8"/>
    <w:rsid w:val="00DD471E"/>
    <w:rsid w:val="00DD4C56"/>
    <w:rsid w:val="00DF32EE"/>
    <w:rsid w:val="00E028A1"/>
    <w:rsid w:val="00E060A9"/>
    <w:rsid w:val="00E16F1D"/>
    <w:rsid w:val="00E1736B"/>
    <w:rsid w:val="00E2391A"/>
    <w:rsid w:val="00E23B4A"/>
    <w:rsid w:val="00E247DB"/>
    <w:rsid w:val="00E31A8C"/>
    <w:rsid w:val="00E352FD"/>
    <w:rsid w:val="00E410DA"/>
    <w:rsid w:val="00E57E55"/>
    <w:rsid w:val="00E62863"/>
    <w:rsid w:val="00E65311"/>
    <w:rsid w:val="00E664E4"/>
    <w:rsid w:val="00E67167"/>
    <w:rsid w:val="00E72F22"/>
    <w:rsid w:val="00E8079A"/>
    <w:rsid w:val="00E93E1C"/>
    <w:rsid w:val="00E96F83"/>
    <w:rsid w:val="00EA09E6"/>
    <w:rsid w:val="00EA6CB3"/>
    <w:rsid w:val="00EA71DF"/>
    <w:rsid w:val="00EA7E4E"/>
    <w:rsid w:val="00EB13BB"/>
    <w:rsid w:val="00EB43FD"/>
    <w:rsid w:val="00EB45D5"/>
    <w:rsid w:val="00EC0C2F"/>
    <w:rsid w:val="00F02FDF"/>
    <w:rsid w:val="00F03F7F"/>
    <w:rsid w:val="00F051C0"/>
    <w:rsid w:val="00F05DBE"/>
    <w:rsid w:val="00F07AB8"/>
    <w:rsid w:val="00F1564C"/>
    <w:rsid w:val="00F27366"/>
    <w:rsid w:val="00F6392E"/>
    <w:rsid w:val="00F73FAA"/>
    <w:rsid w:val="00F90584"/>
    <w:rsid w:val="00F9510A"/>
    <w:rsid w:val="00FB2C19"/>
    <w:rsid w:val="00FB5D4B"/>
    <w:rsid w:val="00FB6B4C"/>
    <w:rsid w:val="00FC31E3"/>
    <w:rsid w:val="00FC61B7"/>
    <w:rsid w:val="00FD1B5C"/>
    <w:rsid w:val="00FD4A07"/>
    <w:rsid w:val="00FD7267"/>
    <w:rsid w:val="00FF0307"/>
    <w:rsid w:val="00FF4C7E"/>
    <w:rsid w:val="00FF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30"/>
    <w:rPr>
      <w:rFonts w:ascii="Calibri" w:eastAsia="Times New Roman" w:hAnsi="Calibri" w:cs="Times New Roman"/>
      <w:lang w:eastAsia="ru-RU"/>
    </w:rPr>
  </w:style>
  <w:style w:type="paragraph" w:styleId="1">
    <w:name w:val="heading 1"/>
    <w:basedOn w:val="a"/>
    <w:next w:val="a"/>
    <w:link w:val="10"/>
    <w:qFormat/>
    <w:rsid w:val="00FB2C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Основной текст без отступа"/>
    <w:basedOn w:val="a"/>
    <w:link w:val="a4"/>
    <w:uiPriority w:val="99"/>
    <w:rsid w:val="001C1E30"/>
    <w:pPr>
      <w:spacing w:after="0" w:line="240" w:lineRule="auto"/>
      <w:ind w:firstLine="1418"/>
      <w:jc w:val="both"/>
    </w:pPr>
    <w:rPr>
      <w:rFonts w:ascii="Times New Roman" w:hAnsi="Times New Roman"/>
      <w:sz w:val="28"/>
      <w:szCs w:val="20"/>
    </w:rPr>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3"/>
    <w:uiPriority w:val="99"/>
    <w:rsid w:val="001C1E30"/>
    <w:rPr>
      <w:rFonts w:ascii="Times New Roman" w:eastAsia="Times New Roman" w:hAnsi="Times New Roman" w:cs="Times New Roman"/>
      <w:sz w:val="28"/>
      <w:szCs w:val="20"/>
      <w:lang w:eastAsia="ru-RU"/>
    </w:rPr>
  </w:style>
  <w:style w:type="character" w:styleId="a5">
    <w:name w:val="Hyperlink"/>
    <w:basedOn w:val="a0"/>
    <w:rsid w:val="001C1E30"/>
    <w:rPr>
      <w:color w:val="0000FF"/>
      <w:u w:val="single"/>
    </w:rPr>
  </w:style>
  <w:style w:type="paragraph" w:styleId="a6">
    <w:name w:val="Balloon Text"/>
    <w:basedOn w:val="a"/>
    <w:link w:val="a7"/>
    <w:uiPriority w:val="99"/>
    <w:semiHidden/>
    <w:unhideWhenUsed/>
    <w:rsid w:val="00163F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FB2"/>
    <w:rPr>
      <w:rFonts w:ascii="Tahoma" w:eastAsia="Times New Roman" w:hAnsi="Tahoma" w:cs="Tahoma"/>
      <w:sz w:val="16"/>
      <w:szCs w:val="16"/>
      <w:lang w:eastAsia="ru-RU"/>
    </w:rPr>
  </w:style>
  <w:style w:type="paragraph" w:styleId="a8">
    <w:name w:val="header"/>
    <w:basedOn w:val="a"/>
    <w:link w:val="a9"/>
    <w:uiPriority w:val="99"/>
    <w:unhideWhenUsed/>
    <w:rsid w:val="006A0F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0FD7"/>
    <w:rPr>
      <w:rFonts w:ascii="Calibri" w:eastAsia="Times New Roman" w:hAnsi="Calibri" w:cs="Times New Roman"/>
      <w:lang w:eastAsia="ru-RU"/>
    </w:rPr>
  </w:style>
  <w:style w:type="paragraph" w:styleId="aa">
    <w:name w:val="footer"/>
    <w:basedOn w:val="a"/>
    <w:link w:val="ab"/>
    <w:uiPriority w:val="99"/>
    <w:unhideWhenUsed/>
    <w:rsid w:val="006A0F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0FD7"/>
    <w:rPr>
      <w:rFonts w:ascii="Calibri" w:eastAsia="Times New Roman" w:hAnsi="Calibri" w:cs="Times New Roman"/>
      <w:lang w:eastAsia="ru-RU"/>
    </w:rPr>
  </w:style>
  <w:style w:type="character" w:customStyle="1" w:styleId="ac">
    <w:name w:val="Цветовое выделение"/>
    <w:rsid w:val="0092054D"/>
    <w:rPr>
      <w:b/>
      <w:bCs/>
      <w:color w:val="000080"/>
      <w:sz w:val="20"/>
      <w:szCs w:val="20"/>
    </w:rPr>
  </w:style>
  <w:style w:type="paragraph" w:styleId="3">
    <w:name w:val="Body Text Indent 3"/>
    <w:basedOn w:val="a"/>
    <w:link w:val="30"/>
    <w:uiPriority w:val="99"/>
    <w:semiHidden/>
    <w:unhideWhenUsed/>
    <w:rsid w:val="0092054D"/>
    <w:pPr>
      <w:spacing w:after="120"/>
      <w:ind w:left="283"/>
    </w:pPr>
    <w:rPr>
      <w:sz w:val="16"/>
      <w:szCs w:val="16"/>
    </w:rPr>
  </w:style>
  <w:style w:type="character" w:customStyle="1" w:styleId="30">
    <w:name w:val="Основной текст с отступом 3 Знак"/>
    <w:basedOn w:val="a0"/>
    <w:link w:val="3"/>
    <w:uiPriority w:val="99"/>
    <w:semiHidden/>
    <w:rsid w:val="0092054D"/>
    <w:rPr>
      <w:rFonts w:ascii="Calibri" w:eastAsia="Times New Roman" w:hAnsi="Calibri" w:cs="Times New Roman"/>
      <w:sz w:val="16"/>
      <w:szCs w:val="16"/>
      <w:lang w:eastAsia="ru-RU"/>
    </w:rPr>
  </w:style>
  <w:style w:type="paragraph" w:styleId="ad">
    <w:name w:val="List Paragraph"/>
    <w:basedOn w:val="a"/>
    <w:uiPriority w:val="34"/>
    <w:qFormat/>
    <w:rsid w:val="002035B3"/>
    <w:pPr>
      <w:ind w:left="720"/>
      <w:contextualSpacing/>
    </w:pPr>
    <w:rPr>
      <w:rFonts w:eastAsia="Calibri"/>
      <w:lang w:eastAsia="en-US"/>
    </w:rPr>
  </w:style>
  <w:style w:type="paragraph" w:customStyle="1" w:styleId="rvps698610">
    <w:name w:val="rvps698610"/>
    <w:basedOn w:val="a"/>
    <w:rsid w:val="002035B3"/>
    <w:pPr>
      <w:spacing w:after="150" w:line="240" w:lineRule="auto"/>
      <w:ind w:right="300"/>
    </w:pPr>
    <w:rPr>
      <w:rFonts w:ascii="Times New Roman" w:eastAsia="Calibri" w:hAnsi="Times New Roman"/>
      <w:sz w:val="24"/>
      <w:szCs w:val="24"/>
    </w:rPr>
  </w:style>
  <w:style w:type="paragraph" w:customStyle="1" w:styleId="ConsNonformat">
    <w:name w:val="ConsNonformat"/>
    <w:rsid w:val="00FB6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mphasis"/>
    <w:basedOn w:val="a0"/>
    <w:qFormat/>
    <w:rsid w:val="00FB6B4C"/>
    <w:rPr>
      <w:i/>
      <w:iCs/>
    </w:rPr>
  </w:style>
  <w:style w:type="paragraph" w:styleId="2">
    <w:name w:val="Body Text Indent 2"/>
    <w:basedOn w:val="a"/>
    <w:link w:val="20"/>
    <w:uiPriority w:val="99"/>
    <w:unhideWhenUsed/>
    <w:rsid w:val="00F05DBE"/>
    <w:pPr>
      <w:spacing w:after="120" w:line="480" w:lineRule="auto"/>
      <w:ind w:left="283"/>
    </w:pPr>
  </w:style>
  <w:style w:type="character" w:customStyle="1" w:styleId="20">
    <w:name w:val="Основной текст с отступом 2 Знак"/>
    <w:basedOn w:val="a0"/>
    <w:link w:val="2"/>
    <w:uiPriority w:val="99"/>
    <w:rsid w:val="00F05DBE"/>
    <w:rPr>
      <w:rFonts w:ascii="Calibri" w:eastAsia="Times New Roman" w:hAnsi="Calibri" w:cs="Times New Roman"/>
      <w:lang w:eastAsia="ru-RU"/>
    </w:rPr>
  </w:style>
  <w:style w:type="paragraph" w:styleId="af">
    <w:name w:val="Body Text"/>
    <w:basedOn w:val="a"/>
    <w:link w:val="af0"/>
    <w:uiPriority w:val="99"/>
    <w:unhideWhenUsed/>
    <w:rsid w:val="00F05DBE"/>
    <w:pPr>
      <w:spacing w:after="120"/>
    </w:pPr>
  </w:style>
  <w:style w:type="character" w:customStyle="1" w:styleId="af0">
    <w:name w:val="Основной текст Знак"/>
    <w:basedOn w:val="a0"/>
    <w:link w:val="af"/>
    <w:uiPriority w:val="99"/>
    <w:rsid w:val="00F05DBE"/>
    <w:rPr>
      <w:rFonts w:ascii="Calibri" w:eastAsia="Times New Roman" w:hAnsi="Calibri" w:cs="Times New Roman"/>
      <w:lang w:eastAsia="ru-RU"/>
    </w:rPr>
  </w:style>
  <w:style w:type="paragraph" w:styleId="af1">
    <w:name w:val="No Spacing"/>
    <w:uiPriority w:val="1"/>
    <w:qFormat/>
    <w:rsid w:val="00C634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FB2C19"/>
    <w:rPr>
      <w:rFonts w:ascii="Arial" w:eastAsia="Times New Roman" w:hAnsi="Arial" w:cs="Arial"/>
      <w:b/>
      <w:bCs/>
      <w:kern w:val="32"/>
      <w:sz w:val="32"/>
      <w:szCs w:val="32"/>
      <w:lang w:eastAsia="ru-RU"/>
    </w:rPr>
  </w:style>
  <w:style w:type="paragraph" w:customStyle="1" w:styleId="ConsPlusNormal">
    <w:name w:val="ConsPlusNormal"/>
    <w:rsid w:val="00FB2C19"/>
    <w:pPr>
      <w:autoSpaceDE w:val="0"/>
      <w:autoSpaceDN w:val="0"/>
      <w:adjustRightInd w:val="0"/>
      <w:spacing w:after="0" w:line="240" w:lineRule="auto"/>
    </w:pPr>
    <w:rPr>
      <w:rFonts w:ascii="Arial" w:eastAsia="Calibri" w:hAnsi="Arial" w:cs="Arial"/>
      <w:sz w:val="20"/>
      <w:szCs w:val="20"/>
      <w:lang w:eastAsia="ru-RU"/>
    </w:rPr>
  </w:style>
  <w:style w:type="table" w:styleId="af2">
    <w:name w:val="Table Grid"/>
    <w:basedOn w:val="a1"/>
    <w:uiPriority w:val="59"/>
    <w:rsid w:val="00D0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сновной текст с отступом.Надин стиль"/>
    <w:basedOn w:val="a"/>
    <w:rsid w:val="00000921"/>
    <w:pPr>
      <w:spacing w:after="0" w:line="240" w:lineRule="auto"/>
      <w:ind w:right="-766" w:firstLine="720"/>
      <w:jc w:val="both"/>
    </w:pPr>
    <w:rPr>
      <w:rFonts w:ascii="Times New Roman" w:hAnsi="Times New Roman"/>
      <w:sz w:val="28"/>
      <w:szCs w:val="20"/>
    </w:rPr>
  </w:style>
  <w:style w:type="paragraph" w:customStyle="1" w:styleId="21">
    <w:name w:val="Без интервала2"/>
    <w:rsid w:val="00000921"/>
    <w:pPr>
      <w:spacing w:after="0" w:line="240" w:lineRule="auto"/>
    </w:pPr>
    <w:rPr>
      <w:rFonts w:ascii="Calibri" w:eastAsia="Times New Roman" w:hAnsi="Calibri" w:cs="Calibri"/>
    </w:rPr>
  </w:style>
  <w:style w:type="paragraph" w:styleId="af4">
    <w:name w:val="caption"/>
    <w:basedOn w:val="a"/>
    <w:next w:val="a"/>
    <w:uiPriority w:val="35"/>
    <w:unhideWhenUsed/>
    <w:qFormat/>
    <w:rsid w:val="00000921"/>
    <w:pPr>
      <w:spacing w:line="240" w:lineRule="auto"/>
    </w:pPr>
    <w:rPr>
      <w:b/>
      <w:bCs/>
      <w:color w:val="4F81BD" w:themeColor="accent1"/>
      <w:sz w:val="18"/>
      <w:szCs w:val="18"/>
    </w:rPr>
  </w:style>
  <w:style w:type="paragraph" w:customStyle="1" w:styleId="af5">
    <w:name w:val="Базовый"/>
    <w:rsid w:val="00F02FDF"/>
    <w:pPr>
      <w:tabs>
        <w:tab w:val="left" w:pos="709"/>
      </w:tabs>
      <w:suppressAutoHyphens/>
      <w:spacing w:line="276" w:lineRule="atLeast"/>
    </w:pPr>
    <w:rPr>
      <w:rFonts w:ascii="Calibri" w:eastAsia="Lucida Sans Unicode"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30"/>
    <w:rPr>
      <w:rFonts w:ascii="Calibri" w:eastAsia="Times New Roman" w:hAnsi="Calibri" w:cs="Times New Roman"/>
      <w:lang w:eastAsia="ru-RU"/>
    </w:rPr>
  </w:style>
  <w:style w:type="paragraph" w:styleId="1">
    <w:name w:val="heading 1"/>
    <w:basedOn w:val="a"/>
    <w:next w:val="a"/>
    <w:link w:val="10"/>
    <w:qFormat/>
    <w:rsid w:val="00FB2C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Основной текст без отступа"/>
    <w:basedOn w:val="a"/>
    <w:link w:val="a4"/>
    <w:uiPriority w:val="99"/>
    <w:rsid w:val="001C1E30"/>
    <w:pPr>
      <w:spacing w:after="0" w:line="240" w:lineRule="auto"/>
      <w:ind w:firstLine="1418"/>
      <w:jc w:val="both"/>
    </w:pPr>
    <w:rPr>
      <w:rFonts w:ascii="Times New Roman" w:hAnsi="Times New Roman"/>
      <w:sz w:val="28"/>
      <w:szCs w:val="20"/>
    </w:rPr>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3"/>
    <w:uiPriority w:val="99"/>
    <w:rsid w:val="001C1E30"/>
    <w:rPr>
      <w:rFonts w:ascii="Times New Roman" w:eastAsia="Times New Roman" w:hAnsi="Times New Roman" w:cs="Times New Roman"/>
      <w:sz w:val="28"/>
      <w:szCs w:val="20"/>
      <w:lang w:eastAsia="ru-RU"/>
    </w:rPr>
  </w:style>
  <w:style w:type="character" w:styleId="a5">
    <w:name w:val="Hyperlink"/>
    <w:basedOn w:val="a0"/>
    <w:rsid w:val="001C1E30"/>
    <w:rPr>
      <w:color w:val="0000FF"/>
      <w:u w:val="single"/>
    </w:rPr>
  </w:style>
  <w:style w:type="paragraph" w:styleId="a6">
    <w:name w:val="Balloon Text"/>
    <w:basedOn w:val="a"/>
    <w:link w:val="a7"/>
    <w:uiPriority w:val="99"/>
    <w:semiHidden/>
    <w:unhideWhenUsed/>
    <w:rsid w:val="00163F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FB2"/>
    <w:rPr>
      <w:rFonts w:ascii="Tahoma" w:eastAsia="Times New Roman" w:hAnsi="Tahoma" w:cs="Tahoma"/>
      <w:sz w:val="16"/>
      <w:szCs w:val="16"/>
      <w:lang w:eastAsia="ru-RU"/>
    </w:rPr>
  </w:style>
  <w:style w:type="paragraph" w:styleId="a8">
    <w:name w:val="header"/>
    <w:basedOn w:val="a"/>
    <w:link w:val="a9"/>
    <w:uiPriority w:val="99"/>
    <w:unhideWhenUsed/>
    <w:rsid w:val="006A0F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0FD7"/>
    <w:rPr>
      <w:rFonts w:ascii="Calibri" w:eastAsia="Times New Roman" w:hAnsi="Calibri" w:cs="Times New Roman"/>
      <w:lang w:eastAsia="ru-RU"/>
    </w:rPr>
  </w:style>
  <w:style w:type="paragraph" w:styleId="aa">
    <w:name w:val="footer"/>
    <w:basedOn w:val="a"/>
    <w:link w:val="ab"/>
    <w:uiPriority w:val="99"/>
    <w:unhideWhenUsed/>
    <w:rsid w:val="006A0F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0FD7"/>
    <w:rPr>
      <w:rFonts w:ascii="Calibri" w:eastAsia="Times New Roman" w:hAnsi="Calibri" w:cs="Times New Roman"/>
      <w:lang w:eastAsia="ru-RU"/>
    </w:rPr>
  </w:style>
  <w:style w:type="character" w:customStyle="1" w:styleId="ac">
    <w:name w:val="Цветовое выделение"/>
    <w:rsid w:val="0092054D"/>
    <w:rPr>
      <w:b/>
      <w:bCs/>
      <w:color w:val="000080"/>
      <w:sz w:val="20"/>
      <w:szCs w:val="20"/>
    </w:rPr>
  </w:style>
  <w:style w:type="paragraph" w:styleId="3">
    <w:name w:val="Body Text Indent 3"/>
    <w:basedOn w:val="a"/>
    <w:link w:val="30"/>
    <w:uiPriority w:val="99"/>
    <w:semiHidden/>
    <w:unhideWhenUsed/>
    <w:rsid w:val="0092054D"/>
    <w:pPr>
      <w:spacing w:after="120"/>
      <w:ind w:left="283"/>
    </w:pPr>
    <w:rPr>
      <w:sz w:val="16"/>
      <w:szCs w:val="16"/>
    </w:rPr>
  </w:style>
  <w:style w:type="character" w:customStyle="1" w:styleId="30">
    <w:name w:val="Основной текст с отступом 3 Знак"/>
    <w:basedOn w:val="a0"/>
    <w:link w:val="3"/>
    <w:uiPriority w:val="99"/>
    <w:semiHidden/>
    <w:rsid w:val="0092054D"/>
    <w:rPr>
      <w:rFonts w:ascii="Calibri" w:eastAsia="Times New Roman" w:hAnsi="Calibri" w:cs="Times New Roman"/>
      <w:sz w:val="16"/>
      <w:szCs w:val="16"/>
      <w:lang w:eastAsia="ru-RU"/>
    </w:rPr>
  </w:style>
  <w:style w:type="paragraph" w:styleId="ad">
    <w:name w:val="List Paragraph"/>
    <w:basedOn w:val="a"/>
    <w:uiPriority w:val="34"/>
    <w:qFormat/>
    <w:rsid w:val="002035B3"/>
    <w:pPr>
      <w:ind w:left="720"/>
      <w:contextualSpacing/>
    </w:pPr>
    <w:rPr>
      <w:rFonts w:eastAsia="Calibri"/>
      <w:lang w:eastAsia="en-US"/>
    </w:rPr>
  </w:style>
  <w:style w:type="paragraph" w:customStyle="1" w:styleId="rvps698610">
    <w:name w:val="rvps698610"/>
    <w:basedOn w:val="a"/>
    <w:rsid w:val="002035B3"/>
    <w:pPr>
      <w:spacing w:after="150" w:line="240" w:lineRule="auto"/>
      <w:ind w:right="300"/>
    </w:pPr>
    <w:rPr>
      <w:rFonts w:ascii="Times New Roman" w:eastAsia="Calibri" w:hAnsi="Times New Roman"/>
      <w:sz w:val="24"/>
      <w:szCs w:val="24"/>
    </w:rPr>
  </w:style>
  <w:style w:type="paragraph" w:customStyle="1" w:styleId="ConsNonformat">
    <w:name w:val="ConsNonformat"/>
    <w:rsid w:val="00FB6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mphasis"/>
    <w:basedOn w:val="a0"/>
    <w:qFormat/>
    <w:rsid w:val="00FB6B4C"/>
    <w:rPr>
      <w:i/>
      <w:iCs/>
    </w:rPr>
  </w:style>
  <w:style w:type="paragraph" w:styleId="2">
    <w:name w:val="Body Text Indent 2"/>
    <w:basedOn w:val="a"/>
    <w:link w:val="20"/>
    <w:uiPriority w:val="99"/>
    <w:unhideWhenUsed/>
    <w:rsid w:val="00F05DBE"/>
    <w:pPr>
      <w:spacing w:after="120" w:line="480" w:lineRule="auto"/>
      <w:ind w:left="283"/>
    </w:pPr>
  </w:style>
  <w:style w:type="character" w:customStyle="1" w:styleId="20">
    <w:name w:val="Основной текст с отступом 2 Знак"/>
    <w:basedOn w:val="a0"/>
    <w:link w:val="2"/>
    <w:uiPriority w:val="99"/>
    <w:rsid w:val="00F05DBE"/>
    <w:rPr>
      <w:rFonts w:ascii="Calibri" w:eastAsia="Times New Roman" w:hAnsi="Calibri" w:cs="Times New Roman"/>
      <w:lang w:eastAsia="ru-RU"/>
    </w:rPr>
  </w:style>
  <w:style w:type="paragraph" w:styleId="af">
    <w:name w:val="Body Text"/>
    <w:basedOn w:val="a"/>
    <w:link w:val="af0"/>
    <w:uiPriority w:val="99"/>
    <w:unhideWhenUsed/>
    <w:rsid w:val="00F05DBE"/>
    <w:pPr>
      <w:spacing w:after="120"/>
    </w:pPr>
  </w:style>
  <w:style w:type="character" w:customStyle="1" w:styleId="af0">
    <w:name w:val="Основной текст Знак"/>
    <w:basedOn w:val="a0"/>
    <w:link w:val="af"/>
    <w:uiPriority w:val="99"/>
    <w:rsid w:val="00F05DBE"/>
    <w:rPr>
      <w:rFonts w:ascii="Calibri" w:eastAsia="Times New Roman" w:hAnsi="Calibri" w:cs="Times New Roman"/>
      <w:lang w:eastAsia="ru-RU"/>
    </w:rPr>
  </w:style>
  <w:style w:type="paragraph" w:styleId="af1">
    <w:name w:val="No Spacing"/>
    <w:uiPriority w:val="1"/>
    <w:qFormat/>
    <w:rsid w:val="00C634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FB2C19"/>
    <w:rPr>
      <w:rFonts w:ascii="Arial" w:eastAsia="Times New Roman" w:hAnsi="Arial" w:cs="Arial"/>
      <w:b/>
      <w:bCs/>
      <w:kern w:val="32"/>
      <w:sz w:val="32"/>
      <w:szCs w:val="32"/>
      <w:lang w:eastAsia="ru-RU"/>
    </w:rPr>
  </w:style>
  <w:style w:type="paragraph" w:customStyle="1" w:styleId="ConsPlusNormal">
    <w:name w:val="ConsPlusNormal"/>
    <w:rsid w:val="00FB2C19"/>
    <w:pPr>
      <w:autoSpaceDE w:val="0"/>
      <w:autoSpaceDN w:val="0"/>
      <w:adjustRightInd w:val="0"/>
      <w:spacing w:after="0" w:line="240" w:lineRule="auto"/>
    </w:pPr>
    <w:rPr>
      <w:rFonts w:ascii="Arial" w:eastAsia="Calibri" w:hAnsi="Arial" w:cs="Arial"/>
      <w:sz w:val="20"/>
      <w:szCs w:val="20"/>
      <w:lang w:eastAsia="ru-RU"/>
    </w:rPr>
  </w:style>
  <w:style w:type="table" w:styleId="af2">
    <w:name w:val="Table Grid"/>
    <w:basedOn w:val="a1"/>
    <w:uiPriority w:val="59"/>
    <w:rsid w:val="00D0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сновной текст с отступом.Надин стиль"/>
    <w:basedOn w:val="a"/>
    <w:rsid w:val="00000921"/>
    <w:pPr>
      <w:spacing w:after="0" w:line="240" w:lineRule="auto"/>
      <w:ind w:right="-766" w:firstLine="720"/>
      <w:jc w:val="both"/>
    </w:pPr>
    <w:rPr>
      <w:rFonts w:ascii="Times New Roman" w:hAnsi="Times New Roman"/>
      <w:sz w:val="28"/>
      <w:szCs w:val="20"/>
    </w:rPr>
  </w:style>
  <w:style w:type="paragraph" w:customStyle="1" w:styleId="21">
    <w:name w:val="Без интервала2"/>
    <w:rsid w:val="00000921"/>
    <w:pPr>
      <w:spacing w:after="0" w:line="240" w:lineRule="auto"/>
    </w:pPr>
    <w:rPr>
      <w:rFonts w:ascii="Calibri" w:eastAsia="Times New Roman" w:hAnsi="Calibri" w:cs="Calibri"/>
    </w:rPr>
  </w:style>
  <w:style w:type="paragraph" w:styleId="af4">
    <w:name w:val="caption"/>
    <w:basedOn w:val="a"/>
    <w:next w:val="a"/>
    <w:uiPriority w:val="35"/>
    <w:unhideWhenUsed/>
    <w:qFormat/>
    <w:rsid w:val="00000921"/>
    <w:pPr>
      <w:spacing w:line="240" w:lineRule="auto"/>
    </w:pPr>
    <w:rPr>
      <w:b/>
      <w:bCs/>
      <w:color w:val="4F81BD" w:themeColor="accent1"/>
      <w:sz w:val="18"/>
      <w:szCs w:val="18"/>
    </w:rPr>
  </w:style>
  <w:style w:type="paragraph" w:customStyle="1" w:styleId="af5">
    <w:name w:val="Базовый"/>
    <w:rsid w:val="00F02FDF"/>
    <w:pPr>
      <w:tabs>
        <w:tab w:val="left" w:pos="709"/>
      </w:tabs>
      <w:suppressAutoHyphens/>
      <w:spacing w:line="276" w:lineRule="atLeast"/>
    </w:pPr>
    <w:rPr>
      <w:rFonts w:ascii="Calibri" w:eastAsia="Lucida Sans Unicode"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9905">
      <w:bodyDiv w:val="1"/>
      <w:marLeft w:val="0"/>
      <w:marRight w:val="0"/>
      <w:marTop w:val="0"/>
      <w:marBottom w:val="0"/>
      <w:divBdr>
        <w:top w:val="none" w:sz="0" w:space="0" w:color="auto"/>
        <w:left w:val="none" w:sz="0" w:space="0" w:color="auto"/>
        <w:bottom w:val="none" w:sz="0" w:space="0" w:color="auto"/>
        <w:right w:val="none" w:sz="0" w:space="0" w:color="auto"/>
      </w:divBdr>
    </w:div>
    <w:div w:id="337469594">
      <w:bodyDiv w:val="1"/>
      <w:marLeft w:val="0"/>
      <w:marRight w:val="0"/>
      <w:marTop w:val="0"/>
      <w:marBottom w:val="0"/>
      <w:divBdr>
        <w:top w:val="none" w:sz="0" w:space="0" w:color="auto"/>
        <w:left w:val="none" w:sz="0" w:space="0" w:color="auto"/>
        <w:bottom w:val="none" w:sz="0" w:space="0" w:color="auto"/>
        <w:right w:val="none" w:sz="0" w:space="0" w:color="auto"/>
      </w:divBdr>
    </w:div>
    <w:div w:id="918562025">
      <w:bodyDiv w:val="1"/>
      <w:marLeft w:val="0"/>
      <w:marRight w:val="0"/>
      <w:marTop w:val="0"/>
      <w:marBottom w:val="0"/>
      <w:divBdr>
        <w:top w:val="none" w:sz="0" w:space="0" w:color="auto"/>
        <w:left w:val="none" w:sz="0" w:space="0" w:color="auto"/>
        <w:bottom w:val="none" w:sz="0" w:space="0" w:color="auto"/>
        <w:right w:val="none" w:sz="0" w:space="0" w:color="auto"/>
      </w:divBdr>
    </w:div>
    <w:div w:id="932012180">
      <w:bodyDiv w:val="1"/>
      <w:marLeft w:val="0"/>
      <w:marRight w:val="0"/>
      <w:marTop w:val="0"/>
      <w:marBottom w:val="0"/>
      <w:divBdr>
        <w:top w:val="none" w:sz="0" w:space="0" w:color="auto"/>
        <w:left w:val="none" w:sz="0" w:space="0" w:color="auto"/>
        <w:bottom w:val="none" w:sz="0" w:space="0" w:color="auto"/>
        <w:right w:val="none" w:sz="0" w:space="0" w:color="auto"/>
      </w:divBdr>
    </w:div>
    <w:div w:id="1135871201">
      <w:bodyDiv w:val="1"/>
      <w:marLeft w:val="0"/>
      <w:marRight w:val="0"/>
      <w:marTop w:val="0"/>
      <w:marBottom w:val="0"/>
      <w:divBdr>
        <w:top w:val="none" w:sz="0" w:space="0" w:color="auto"/>
        <w:left w:val="none" w:sz="0" w:space="0" w:color="auto"/>
        <w:bottom w:val="none" w:sz="0" w:space="0" w:color="auto"/>
        <w:right w:val="none" w:sz="0" w:space="0" w:color="auto"/>
      </w:divBdr>
    </w:div>
    <w:div w:id="1287656588">
      <w:bodyDiv w:val="1"/>
      <w:marLeft w:val="0"/>
      <w:marRight w:val="0"/>
      <w:marTop w:val="0"/>
      <w:marBottom w:val="0"/>
      <w:divBdr>
        <w:top w:val="none" w:sz="0" w:space="0" w:color="auto"/>
        <w:left w:val="none" w:sz="0" w:space="0" w:color="auto"/>
        <w:bottom w:val="none" w:sz="0" w:space="0" w:color="auto"/>
        <w:right w:val="none" w:sz="0" w:space="0" w:color="auto"/>
      </w:divBdr>
    </w:div>
    <w:div w:id="1362710381">
      <w:bodyDiv w:val="1"/>
      <w:marLeft w:val="0"/>
      <w:marRight w:val="0"/>
      <w:marTop w:val="0"/>
      <w:marBottom w:val="0"/>
      <w:divBdr>
        <w:top w:val="none" w:sz="0" w:space="0" w:color="auto"/>
        <w:left w:val="none" w:sz="0" w:space="0" w:color="auto"/>
        <w:bottom w:val="none" w:sz="0" w:space="0" w:color="auto"/>
        <w:right w:val="none" w:sz="0" w:space="0" w:color="auto"/>
      </w:divBdr>
    </w:div>
    <w:div w:id="18814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consultantplus://offline/ref=ACFE5E5E3E67F987C8A4D53289EB7C62ECE0A9FE62B7A29F7328A98DF3T3b4A" TargetMode="External"/><Relationship Id="rId39" Type="http://schemas.openxmlformats.org/officeDocument/2006/relationships/hyperlink" Target="consultantplus://offline/ref=7E1D302659F009CF236D378AC290C6D87419D1F1948292F293E8C3CFCD71C0B567F7A23C8FT6kDF"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0.xml"/><Relationship Id="rId42" Type="http://schemas.openxmlformats.org/officeDocument/2006/relationships/hyperlink" Target="consultantplus://offline/ref=7E1D302659F009CF236D378AC290C6D87419D1F1948292F293E8C3CFCD71C0B567F7A237886FT6k1F"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19.xml"/><Relationship Id="rId38" Type="http://schemas.openxmlformats.org/officeDocument/2006/relationships/hyperlink" Target="consultantplus://offline/ref=E4206C16E5E0AE7652DB3A6E3A5DF5055D11243B58DEBCE78DDE00C4BFCEF5D77A7F7243C47C42D9949E2CD9q0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consultantplus://offline/ref=9B2A906B724BB9A26E4A85FC5DA3BCB5B721D6E2F99E59F60545E632827944022FC567505674FA66pEu1F" TargetMode="External"/><Relationship Id="rId41" Type="http://schemas.openxmlformats.org/officeDocument/2006/relationships/hyperlink" Target="consultantplus://offline/ref=7E1D302659F009CF236D378AC290C6D87419D1F1948292F293E8C3CFCD71C0B567F7A235886FT6k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consultantplus://offline/ref=73B8C08DA4D3FB22C714AB60CDF15F76363375F475C1CBEDFF493B774A7E857B3BF8F843CBD783jBGBA" TargetMode="External"/><Relationship Id="rId37" Type="http://schemas.openxmlformats.org/officeDocument/2006/relationships/chart" Target="charts/chart23.xml"/><Relationship Id="rId40" Type="http://schemas.openxmlformats.org/officeDocument/2006/relationships/hyperlink" Target="consultantplus://offline/ref=7E1D302659F009CF236D378AC290C6D87419D1F1948292F293E8C3CFCD71C0B567F7A2358A69T6k6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consultantplus://offline/ref=9B2A906B724BB9A26E4A85FC5DA3BCB5B721D6E2F99E59F60545E632827944022FC567505674FA66pEu1F" TargetMode="External"/><Relationship Id="rId36" Type="http://schemas.openxmlformats.org/officeDocument/2006/relationships/chart" Target="charts/chart2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consultantplus://offline/ref=73B8C08DA4D3FB22C714AB60CDF15F76373E70F47EC1CBEDFF493B774A7E857B3BF8F843CADD84jBGAA"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18.xml"/><Relationship Id="rId35" Type="http://schemas.openxmlformats.org/officeDocument/2006/relationships/chart" Target="charts/chart21.xml"/><Relationship Id="rId43" Type="http://schemas.openxmlformats.org/officeDocument/2006/relationships/hyperlink" Target="consultantplus://offline/ref=444878D7B34321B3783F1EE9D4B668525166B3AB01F6D112354E689E79EC7E5BD4A8FDB0CF7491xBWA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gradFill flip="none" rotWithShape="1">
          <a:gsLst>
            <a:gs pos="0">
              <a:srgbClr val="FFEFD1"/>
            </a:gs>
            <a:gs pos="64999">
              <a:srgbClr val="F0EBD5"/>
            </a:gs>
            <a:gs pos="100000">
              <a:srgbClr val="D1C39F"/>
            </a:gs>
          </a:gsLst>
          <a:lin ang="16200000" scaled="1"/>
          <a:tileRect/>
        </a:gradFill>
      </c:spPr>
    </c:sideWall>
    <c:backWall>
      <c:thickness val="0"/>
      <c:spPr>
        <a:gradFill flip="none" rotWithShape="1">
          <a:gsLst>
            <a:gs pos="0">
              <a:srgbClr val="FFEFD1"/>
            </a:gs>
            <a:gs pos="64999">
              <a:srgbClr val="F0EBD5"/>
            </a:gs>
            <a:gs pos="100000">
              <a:srgbClr val="D1C39F"/>
            </a:gs>
          </a:gsLst>
          <a:lin ang="16200000" scaled="1"/>
          <a:tileRect/>
        </a:gradFill>
      </c:spPr>
    </c:backWall>
    <c:plotArea>
      <c:layout>
        <c:manualLayout>
          <c:layoutTarget val="inner"/>
          <c:xMode val="edge"/>
          <c:yMode val="edge"/>
          <c:x val="0.11546227753064806"/>
          <c:y val="3.5688793718772309E-2"/>
          <c:w val="0.85895837539538322"/>
          <c:h val="0.68674386289949052"/>
        </c:manualLayout>
      </c:layout>
      <c:bar3DChart>
        <c:barDir val="col"/>
        <c:grouping val="clustered"/>
        <c:varyColors val="0"/>
        <c:ser>
          <c:idx val="0"/>
          <c:order val="0"/>
          <c:tx>
            <c:strRef>
              <c:f>Лист1!$B$1</c:f>
              <c:strCache>
                <c:ptCount val="1"/>
                <c:pt idx="0">
                  <c:v>Денежные доходы населения</c:v>
                </c:pt>
              </c:strCache>
            </c:strRef>
          </c:tx>
          <c:spPr>
            <a:ln w="12700">
              <a:solidFill>
                <a:sysClr val="windowText" lastClr="000000"/>
              </a:solidFill>
            </a:ln>
            <a:effectLst>
              <a:outerShdw blurRad="76200" dist="12700" dir="2700000" sy="-23000" kx="-800400" algn="bl" rotWithShape="0">
                <a:prstClr val="black">
                  <a:alpha val="20000"/>
                </a:prstClr>
              </a:outerShdw>
            </a:effectLst>
            <a:scene3d>
              <a:camera prst="orthographicFront"/>
              <a:lightRig rig="threePt" dir="t">
                <a:rot lat="0" lon="0" rev="1200000"/>
              </a:lightRig>
            </a:scene3d>
            <a:sp3d prstMaterial="softEdge">
              <a:bevelT w="63500" h="25400"/>
            </a:sp3d>
          </c:spPr>
          <c:invertIfNegative val="0"/>
          <c:dLbls>
            <c:dLbl>
              <c:idx val="0"/>
              <c:layout>
                <c:manualLayout>
                  <c:x val="6.9556258738685704E-3"/>
                  <c:y val="-2.44476258649487E-2"/>
                </c:manualLayout>
              </c:layout>
              <c:showLegendKey val="0"/>
              <c:showVal val="1"/>
              <c:showCatName val="0"/>
              <c:showSerName val="0"/>
              <c:showPercent val="0"/>
              <c:showBubbleSize val="0"/>
            </c:dLbl>
            <c:dLbl>
              <c:idx val="1"/>
              <c:layout>
                <c:manualLayout>
                  <c:x val="3.5944105117701407E-4"/>
                  <c:y val="-1.8647896285691561E-2"/>
                </c:manualLayout>
              </c:layout>
              <c:showLegendKey val="0"/>
              <c:showVal val="1"/>
              <c:showCatName val="0"/>
              <c:showSerName val="0"/>
              <c:showPercent val="0"/>
              <c:showBubbleSize val="0"/>
            </c:dLbl>
            <c:dLbl>
              <c:idx val="2"/>
              <c:layout>
                <c:manualLayout>
                  <c:x val="4.1536863966770508E-3"/>
                  <c:y val="-1.6112789526686825E-2"/>
                </c:manualLayout>
              </c:layout>
              <c:showLegendKey val="0"/>
              <c:showVal val="1"/>
              <c:showCatName val="0"/>
              <c:showSerName val="0"/>
              <c:showPercent val="0"/>
              <c:showBubbleSize val="0"/>
            </c:dLbl>
            <c:dLbl>
              <c:idx val="3"/>
              <c:layout>
                <c:manualLayout>
                  <c:x val="0"/>
                  <c:y val="-2.014098690835851E-2"/>
                </c:manualLayout>
              </c:layout>
              <c:showLegendKey val="0"/>
              <c:showVal val="1"/>
              <c:showCatName val="0"/>
              <c:showSerName val="0"/>
              <c:showPercent val="0"/>
              <c:showBubbleSize val="0"/>
            </c:dLbl>
            <c:dLbl>
              <c:idx val="4"/>
              <c:layout>
                <c:manualLayout>
                  <c:x val="0"/>
                  <c:y val="-1.6112789526686797E-2"/>
                </c:manualLayout>
              </c:layout>
              <c:showLegendKey val="0"/>
              <c:showVal val="1"/>
              <c:showCatName val="0"/>
              <c:showSerName val="0"/>
              <c:showPercent val="0"/>
              <c:showBubbleSize val="0"/>
            </c:dLbl>
            <c:spPr>
              <a:gradFill>
                <a:gsLst>
                  <a:gs pos="0">
                    <a:schemeClr val="bg1"/>
                  </a:gs>
                  <a:gs pos="50000">
                    <a:srgbClr val="4F81BD">
                      <a:tint val="44500"/>
                      <a:satMod val="160000"/>
                    </a:srgbClr>
                  </a:gs>
                  <a:gs pos="100000">
                    <a:srgbClr val="4F81BD">
                      <a:tint val="23500"/>
                      <a:satMod val="160000"/>
                    </a:srgbClr>
                  </a:gs>
                </a:gsLst>
                <a:lin ang="5400000" scaled="0"/>
              </a:gradFill>
              <a:ln>
                <a:solidFill>
                  <a:schemeClr val="accent1"/>
                </a:solid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2013 год</c:v>
                </c:pt>
                <c:pt idx="1">
                  <c:v>2014 год (оценка)</c:v>
                </c:pt>
                <c:pt idx="2">
                  <c:v>2015 год (прогноз)</c:v>
                </c:pt>
                <c:pt idx="3">
                  <c:v>2016 год (прогноз)</c:v>
                </c:pt>
                <c:pt idx="4">
                  <c:v>2017 год (прогноз)</c:v>
                </c:pt>
              </c:strCache>
            </c:strRef>
          </c:cat>
          <c:val>
            <c:numRef>
              <c:f>Лист1!$B$2:$B$6</c:f>
              <c:numCache>
                <c:formatCode>#,##0.0</c:formatCode>
                <c:ptCount val="5"/>
                <c:pt idx="0">
                  <c:v>240.98150000000001</c:v>
                </c:pt>
                <c:pt idx="1">
                  <c:v>259.75513999999998</c:v>
                </c:pt>
                <c:pt idx="2">
                  <c:v>274.01139999999998</c:v>
                </c:pt>
                <c:pt idx="3">
                  <c:v>291.67862000000002</c:v>
                </c:pt>
                <c:pt idx="4">
                  <c:v>309.60806000000002</c:v>
                </c:pt>
              </c:numCache>
            </c:numRef>
          </c:val>
        </c:ser>
        <c:ser>
          <c:idx val="1"/>
          <c:order val="1"/>
          <c:tx>
            <c:strRef>
              <c:f>Лист1!$C$1</c:f>
              <c:strCache>
                <c:ptCount val="1"/>
                <c:pt idx="0">
                  <c:v>Расходы населения</c:v>
                </c:pt>
              </c:strCache>
            </c:strRef>
          </c:tx>
          <c:spPr>
            <a:ln w="12700">
              <a:solidFill>
                <a:sysClr val="windowText" lastClr="000000"/>
              </a:solidFill>
            </a:ln>
            <a:scene3d>
              <a:camera prst="orthographicFront"/>
              <a:lightRig rig="threePt" dir="t">
                <a:rot lat="0" lon="0" rev="1200000"/>
              </a:lightRig>
            </a:scene3d>
            <a:sp3d prstMaterial="matte">
              <a:bevelT w="63500" h="25400"/>
            </a:sp3d>
          </c:spPr>
          <c:invertIfNegative val="0"/>
          <c:dLbls>
            <c:dLbl>
              <c:idx val="0"/>
              <c:layout>
                <c:manualLayout>
                  <c:x val="2.5588670575056621E-2"/>
                  <c:y val="-1.4967766491424221E-2"/>
                </c:manualLayout>
              </c:layout>
              <c:showLegendKey val="0"/>
              <c:showVal val="1"/>
              <c:showCatName val="0"/>
              <c:showSerName val="0"/>
              <c:showPercent val="0"/>
              <c:showBubbleSize val="0"/>
            </c:dLbl>
            <c:dLbl>
              <c:idx val="1"/>
              <c:layout>
                <c:manualLayout>
                  <c:x val="2.5398811129917171E-2"/>
                  <c:y val="-1.9361673446408323E-2"/>
                </c:manualLayout>
              </c:layout>
              <c:showLegendKey val="0"/>
              <c:showVal val="1"/>
              <c:showCatName val="0"/>
              <c:showSerName val="0"/>
              <c:showPercent val="0"/>
              <c:showBubbleSize val="0"/>
            </c:dLbl>
            <c:dLbl>
              <c:idx val="2"/>
              <c:layout>
                <c:manualLayout>
                  <c:x val="2.1185272401697451E-2"/>
                  <c:y val="-1.0478705267581734E-2"/>
                </c:manualLayout>
              </c:layout>
              <c:showLegendKey val="0"/>
              <c:showVal val="1"/>
              <c:showCatName val="0"/>
              <c:showSerName val="0"/>
              <c:showPercent val="0"/>
              <c:showBubbleSize val="0"/>
            </c:dLbl>
            <c:dLbl>
              <c:idx val="3"/>
              <c:layout>
                <c:manualLayout>
                  <c:x val="2.1214053850745217E-2"/>
                  <c:y val="-1.61368952747976E-2"/>
                </c:manualLayout>
              </c:layout>
              <c:showLegendKey val="0"/>
              <c:showVal val="1"/>
              <c:showCatName val="0"/>
              <c:showSerName val="0"/>
              <c:showPercent val="0"/>
              <c:showBubbleSize val="0"/>
            </c:dLbl>
            <c:dLbl>
              <c:idx val="4"/>
              <c:layout>
                <c:manualLayout>
                  <c:x val="2.5820721008004841E-2"/>
                  <c:y val="-1.9802751928736182E-2"/>
                </c:manualLayout>
              </c:layout>
              <c:showLegendKey val="0"/>
              <c:showVal val="1"/>
              <c:showCatName val="0"/>
              <c:showSerName val="0"/>
              <c:showPercent val="0"/>
              <c:showBubbleSize val="0"/>
            </c:dLbl>
            <c:dLbl>
              <c:idx val="5"/>
              <c:layout>
                <c:manualLayout>
                  <c:x val="6.5175819368732749E-2"/>
                  <c:y val="-3.0082389433941079E-2"/>
                </c:manualLayout>
              </c:layout>
              <c:showLegendKey val="0"/>
              <c:showVal val="1"/>
              <c:showCatName val="0"/>
              <c:showSerName val="0"/>
              <c:showPercent val="0"/>
              <c:showBubbleSize val="0"/>
            </c:dLbl>
            <c:spPr>
              <a:gradFill>
                <a:gsLst>
                  <a:gs pos="0">
                    <a:sysClr val="window" lastClr="FFFFFF"/>
                  </a:gs>
                  <a:gs pos="50000">
                    <a:srgbClr val="C0504D">
                      <a:lumMod val="20000"/>
                      <a:lumOff val="80000"/>
                    </a:srgbClr>
                  </a:gs>
                  <a:gs pos="100000">
                    <a:schemeClr val="bg1"/>
                  </a:gs>
                </a:gsLst>
                <a:lin ang="5400000" scaled="0"/>
              </a:gradFill>
              <a:ln>
                <a:solidFill>
                  <a:schemeClr val="accent2">
                    <a:lumMod val="75000"/>
                  </a:schemeClr>
                </a:solid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2013 год</c:v>
                </c:pt>
                <c:pt idx="1">
                  <c:v>2014 год (оценка)</c:v>
                </c:pt>
                <c:pt idx="2">
                  <c:v>2015 год (прогноз)</c:v>
                </c:pt>
                <c:pt idx="3">
                  <c:v>2016 год (прогноз)</c:v>
                </c:pt>
                <c:pt idx="4">
                  <c:v>2017 год (прогноз)</c:v>
                </c:pt>
              </c:strCache>
            </c:strRef>
          </c:cat>
          <c:val>
            <c:numRef>
              <c:f>Лист1!$C$2:$C$6</c:f>
              <c:numCache>
                <c:formatCode>#,##0.0</c:formatCode>
                <c:ptCount val="5"/>
                <c:pt idx="0">
                  <c:v>229.07859999999999</c:v>
                </c:pt>
                <c:pt idx="1">
                  <c:v>253.91140999999999</c:v>
                </c:pt>
                <c:pt idx="2">
                  <c:v>268.67579000000001</c:v>
                </c:pt>
                <c:pt idx="3">
                  <c:v>285.39807999999999</c:v>
                </c:pt>
                <c:pt idx="4">
                  <c:v>301.22854999999998</c:v>
                </c:pt>
              </c:numCache>
            </c:numRef>
          </c:val>
        </c:ser>
        <c:ser>
          <c:idx val="2"/>
          <c:order val="2"/>
          <c:tx>
            <c:strRef>
              <c:f>Лист1!$D$1</c:f>
              <c:strCache>
                <c:ptCount val="1"/>
                <c:pt idx="0">
                  <c:v>Превышение доходов над расходами</c:v>
                </c:pt>
              </c:strCache>
            </c:strRef>
          </c:tx>
          <c:spPr>
            <a:ln w="12700">
              <a:solidFill>
                <a:sysClr val="windowText" lastClr="000000"/>
              </a:solidFill>
            </a:ln>
          </c:spPr>
          <c:invertIfNegative val="0"/>
          <c:dLbls>
            <c:spPr>
              <a:gradFill>
                <a:gsLst>
                  <a:gs pos="0">
                    <a:sysClr val="window" lastClr="FFFFFF"/>
                  </a:gs>
                  <a:gs pos="50000">
                    <a:schemeClr val="accent3">
                      <a:lumMod val="40000"/>
                      <a:lumOff val="60000"/>
                    </a:schemeClr>
                  </a:gs>
                  <a:gs pos="100000">
                    <a:sysClr val="window" lastClr="FFFFFF"/>
                  </a:gs>
                </a:gsLst>
                <a:lin ang="5400000" scaled="0"/>
              </a:gradFill>
              <a:ln>
                <a:solidFill>
                  <a:schemeClr val="accent3">
                    <a:lumMod val="75000"/>
                  </a:schemeClr>
                </a:solid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2013 год</c:v>
                </c:pt>
                <c:pt idx="1">
                  <c:v>2014 год (оценка)</c:v>
                </c:pt>
                <c:pt idx="2">
                  <c:v>2015 год (прогноз)</c:v>
                </c:pt>
                <c:pt idx="3">
                  <c:v>2016 год (прогноз)</c:v>
                </c:pt>
                <c:pt idx="4">
                  <c:v>2017 год (прогноз)</c:v>
                </c:pt>
              </c:strCache>
            </c:strRef>
          </c:cat>
          <c:val>
            <c:numRef>
              <c:f>Лист1!$D$2:$D$6</c:f>
              <c:numCache>
                <c:formatCode>#,##0.0</c:formatCode>
                <c:ptCount val="5"/>
                <c:pt idx="0">
                  <c:v>11.902900000000001</c:v>
                </c:pt>
                <c:pt idx="1">
                  <c:v>5.8437299999999999</c:v>
                </c:pt>
                <c:pt idx="2">
                  <c:v>5.33561</c:v>
                </c:pt>
                <c:pt idx="3">
                  <c:v>6.2805400000000002</c:v>
                </c:pt>
                <c:pt idx="4">
                  <c:v>8.3795099999999998</c:v>
                </c:pt>
              </c:numCache>
            </c:numRef>
          </c:val>
        </c:ser>
        <c:dLbls>
          <c:showLegendKey val="0"/>
          <c:showVal val="0"/>
          <c:showCatName val="0"/>
          <c:showSerName val="0"/>
          <c:showPercent val="0"/>
          <c:showBubbleSize val="0"/>
        </c:dLbls>
        <c:gapWidth val="75"/>
        <c:shape val="box"/>
        <c:axId val="163472896"/>
        <c:axId val="163494528"/>
        <c:axId val="0"/>
      </c:bar3DChart>
      <c:catAx>
        <c:axId val="163472896"/>
        <c:scaling>
          <c:orientation val="minMax"/>
        </c:scaling>
        <c:delete val="0"/>
        <c:axPos val="b"/>
        <c:numFmt formatCode="General" sourceLinked="1"/>
        <c:majorTickMark val="none"/>
        <c:minorTickMark val="none"/>
        <c:tickLblPos val="low"/>
        <c:txPr>
          <a:bodyPr/>
          <a:lstStyle/>
          <a:p>
            <a:pPr>
              <a:defRPr b="1">
                <a:latin typeface="Times New Roman" pitchFamily="18" charset="0"/>
                <a:cs typeface="Times New Roman" pitchFamily="18" charset="0"/>
              </a:defRPr>
            </a:pPr>
            <a:endParaRPr lang="ru-RU"/>
          </a:p>
        </c:txPr>
        <c:crossAx val="163494528"/>
        <c:crosses val="autoZero"/>
        <c:auto val="1"/>
        <c:lblAlgn val="ctr"/>
        <c:lblOffset val="200"/>
        <c:noMultiLvlLbl val="0"/>
      </c:catAx>
      <c:valAx>
        <c:axId val="163494528"/>
        <c:scaling>
          <c:orientation val="minMax"/>
          <c:max val="350"/>
          <c:min val="0"/>
        </c:scaling>
        <c:delete val="0"/>
        <c:axPos val="l"/>
        <c:majorGridlines/>
        <c:title>
          <c:tx>
            <c:rich>
              <a:bodyPr rot="0" vert="horz"/>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млрд. рублей</a:t>
                </a:r>
              </a:p>
            </c:rich>
          </c:tx>
          <c:layout>
            <c:manualLayout>
              <c:xMode val="edge"/>
              <c:yMode val="edge"/>
              <c:x val="1.8792814449595668E-2"/>
              <c:y val="4.3221892345424062E-2"/>
            </c:manualLayout>
          </c:layout>
          <c:overlay val="0"/>
        </c:title>
        <c:numFmt formatCode="#,##0.0"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63472896"/>
        <c:crosses val="autoZero"/>
        <c:crossBetween val="between"/>
        <c:majorUnit val="100"/>
      </c:valAx>
      <c:spPr>
        <a:noFill/>
        <a:ln w="25400">
          <a:noFill/>
        </a:ln>
      </c:spPr>
    </c:plotArea>
    <c:legend>
      <c:legendPos val="b"/>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0.14761904761904762"/>
          <c:y val="0.30549450549450552"/>
          <c:w val="0.66349206349206347"/>
          <c:h val="0.36483516483516482"/>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5"/>
          <c:dPt>
            <c:idx val="0"/>
            <c:bubble3D val="0"/>
            <c:spPr>
              <a:solidFill>
                <a:srgbClr val="0000FF"/>
              </a:solidFill>
              <a:ln w="15875">
                <a:solidFill>
                  <a:srgbClr val="000000"/>
                </a:solidFill>
                <a:prstDash val="solid"/>
              </a:ln>
            </c:spPr>
          </c:dPt>
          <c:dPt>
            <c:idx val="1"/>
            <c:bubble3D val="0"/>
            <c:spPr>
              <a:gradFill flip="none" rotWithShape="1">
                <a:gsLst>
                  <a:gs pos="0">
                    <a:srgbClr val="00FF00">
                      <a:tint val="66000"/>
                      <a:satMod val="160000"/>
                    </a:srgbClr>
                  </a:gs>
                  <a:gs pos="50000">
                    <a:srgbClr val="00FF00">
                      <a:tint val="44500"/>
                      <a:satMod val="160000"/>
                    </a:srgbClr>
                  </a:gs>
                  <a:gs pos="100000">
                    <a:srgbClr val="00FF00">
                      <a:tint val="23500"/>
                      <a:satMod val="160000"/>
                    </a:srgbClr>
                  </a:gs>
                </a:gsLst>
                <a:lin ang="0" scaled="1"/>
                <a:tileRect/>
              </a:gra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gradFill rotWithShape="0">
                <a:gsLst>
                  <a:gs pos="0">
                    <a:srgbClr xmlns:mc="http://schemas.openxmlformats.org/markup-compatibility/2006" xmlns:a14="http://schemas.microsoft.com/office/drawing/2010/main" val="000000" mc:Ignorable="a14" a14:legacySpreadsheetColorIndex="45">
                      <a:gamma/>
                      <a:shade val="46275"/>
                      <a:invGamma/>
                    </a:srgbClr>
                  </a:gs>
                  <a:gs pos="50000">
                    <a:srgbClr xmlns:mc="http://schemas.openxmlformats.org/markup-compatibility/2006" xmlns:a14="http://schemas.microsoft.com/office/drawing/2010/main" val="FF99CC" mc:Ignorable="a14" a14:legacySpreadsheetColorIndex="45"/>
                  </a:gs>
                  <a:gs pos="100000">
                    <a:srgbClr xmlns:mc="http://schemas.openxmlformats.org/markup-compatibility/2006" xmlns:a14="http://schemas.microsoft.com/office/drawing/2010/main" val="000000" mc:Ignorable="a14" a14:legacySpreadsheetColorIndex="45">
                      <a:gamma/>
                      <a:shade val="46275"/>
                      <a:invGamma/>
                    </a:srgbClr>
                  </a:gs>
                </a:gsLst>
                <a:lin ang="5400000" scaled="1"/>
              </a:gradFill>
              <a:ln w="15875">
                <a:solidFill>
                  <a:srgbClr val="000000"/>
                </a:solidFill>
                <a:prstDash val="solid"/>
              </a:ln>
            </c:spPr>
          </c:dPt>
          <c:dPt>
            <c:idx val="4"/>
            <c:bubble3D val="0"/>
            <c:spPr>
              <a:solidFill>
                <a:srgbClr val="FF0000"/>
              </a:solidFill>
              <a:ln w="15875">
                <a:solidFill>
                  <a:srgbClr val="000000"/>
                </a:solidFill>
                <a:prstDash val="solid"/>
              </a:ln>
            </c:spPr>
          </c:dPt>
          <c:dPt>
            <c:idx val="5"/>
            <c:bubble3D val="0"/>
            <c:spPr>
              <a:solidFill>
                <a:srgbClr val="99CCFF"/>
              </a:solidFill>
              <a:ln w="15875">
                <a:solidFill>
                  <a:srgbClr val="000000"/>
                </a:solidFill>
                <a:prstDash val="solid"/>
              </a:ln>
            </c:spPr>
          </c:dPt>
          <c:dPt>
            <c:idx val="6"/>
            <c:bubble3D val="0"/>
            <c:spPr>
              <a:solidFill>
                <a:srgbClr val="00FFFF"/>
              </a:solidFill>
              <a:ln w="15875">
                <a:solidFill>
                  <a:srgbClr val="000000"/>
                </a:solidFill>
                <a:prstDash val="solid"/>
              </a:ln>
            </c:spPr>
          </c:dPt>
          <c:dPt>
            <c:idx val="7"/>
            <c:bubble3D val="0"/>
            <c:spPr>
              <a:solidFill>
                <a:srgbClr val="CCCCFF"/>
              </a:solidFill>
              <a:ln w="15875">
                <a:solidFill>
                  <a:srgbClr val="000000"/>
                </a:solidFill>
                <a:prstDash val="solid"/>
              </a:ln>
            </c:spPr>
          </c:dPt>
          <c:dPt>
            <c:idx val="8"/>
            <c:bubble3D val="0"/>
            <c:spPr>
              <a:solidFill>
                <a:srgbClr val="FFFF00"/>
              </a:solidFill>
              <a:ln w="15875">
                <a:solidFill>
                  <a:srgbClr val="000000"/>
                </a:solidFill>
                <a:prstDash val="solid"/>
              </a:ln>
            </c:spPr>
          </c:dPt>
          <c:dPt>
            <c:idx val="9"/>
            <c:bubble3D val="0"/>
            <c:spPr>
              <a:solidFill>
                <a:srgbClr val="FF00FF"/>
              </a:solidFill>
              <a:ln w="15875">
                <a:solidFill>
                  <a:srgbClr val="000000"/>
                </a:solidFill>
                <a:prstDash val="solid"/>
              </a:ln>
            </c:spPr>
          </c:dPt>
          <c:dPt>
            <c:idx val="10"/>
            <c:bubble3D val="0"/>
            <c:spPr>
              <a:solidFill>
                <a:srgbClr val="FF99CC"/>
              </a:solidFill>
              <a:ln w="15875">
                <a:solidFill>
                  <a:srgbClr val="000000"/>
                </a:solidFill>
                <a:prstDash val="solid"/>
              </a:ln>
            </c:spPr>
          </c:dPt>
          <c:dPt>
            <c:idx val="11"/>
            <c:bubble3D val="0"/>
            <c:spPr>
              <a:solidFill>
                <a:srgbClr val="99CC00"/>
              </a:solidFill>
              <a:ln w="15875">
                <a:solidFill>
                  <a:srgbClr val="000000"/>
                </a:solidFill>
                <a:prstDash val="solid"/>
              </a:ln>
            </c:spPr>
          </c:dPt>
          <c:dLbls>
            <c:dLbl>
              <c:idx val="0"/>
              <c:layout>
                <c:manualLayout>
                  <c:x val="-8.4893953473207148E-2"/>
                  <c:y val="-0.11840749122511705"/>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 на прибыль организаций;28,0%</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1"/>
              <c:layout>
                <c:manualLayout>
                  <c:x val="-7.1276796922123867E-2"/>
                  <c:y val="-0.11608327104807266"/>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 на доходы физических лиц; 35,9%</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2"/>
              <c:layout>
                <c:manualLayout>
                  <c:x val="-0.11617167419289987"/>
                  <c:y val="-0.16931181803000939"/>
                </c:manualLayout>
              </c:layout>
              <c:tx>
                <c:rich>
                  <a:bodyPr/>
                  <a:lstStyle/>
                  <a:p>
                    <a:pPr>
                      <a:defRPr sz="798" b="1" i="0" u="none" strike="noStrike" baseline="0">
                        <a:solidFill>
                          <a:srgbClr val="000000"/>
                        </a:solidFill>
                        <a:latin typeface="Times New Roman"/>
                        <a:ea typeface="Times New Roman"/>
                        <a:cs typeface="Times New Roman"/>
                      </a:defRPr>
                    </a:pPr>
                    <a:r>
                      <a:rPr lang="ru-RU"/>
                      <a:t>Акцизы; 5,1%</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3"/>
              <c:layout>
                <c:manualLayout>
                  <c:x val="-8.6861424930578888E-3"/>
                  <c:y val="-0.26551538601418634"/>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Налоги на совокупный доход; 4,5%</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4"/>
              <c:layout>
                <c:manualLayout>
                  <c:x val="-1.2989680637746363E-2"/>
                  <c:y val="-3.0664828170826092E-3"/>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 на имущество организаций; 17,0%</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5"/>
              <c:layout>
                <c:manualLayout>
                  <c:x val="0.10309879743292953"/>
                  <c:y val="7.8153918445899154E-2"/>
                </c:manualLayout>
              </c:layout>
              <c:tx>
                <c:rich>
                  <a:bodyPr/>
                  <a:lstStyle/>
                  <a:p>
                    <a:pPr>
                      <a:defRPr sz="798" b="1" i="0" u="none" strike="noStrike" baseline="0">
                        <a:solidFill>
                          <a:srgbClr val="000000"/>
                        </a:solidFill>
                        <a:latin typeface="Times New Roman"/>
                        <a:ea typeface="Times New Roman"/>
                        <a:cs typeface="Times New Roman"/>
                      </a:defRPr>
                    </a:pPr>
                    <a:r>
                      <a:rPr lang="ru-RU"/>
                      <a:t>Транспортный налог; 2,5%</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6"/>
              <c:layout>
                <c:manualLayout>
                  <c:x val="0.13362661189090494"/>
                  <c:y val="0.16373954411195471"/>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Налоги за пользование природными ресурсами; 5,4%</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7"/>
              <c:layout>
                <c:manualLayout>
                  <c:x val="-8.7491237508354382E-3"/>
                  <c:y val="0.16863002227065629"/>
                </c:manualLayout>
              </c:layout>
              <c:tx>
                <c:rich>
                  <a:bodyPr/>
                  <a:lstStyle/>
                  <a:p>
                    <a:pPr>
                      <a:defRPr sz="798" b="1" i="0" u="none" strike="noStrike" baseline="0">
                        <a:solidFill>
                          <a:srgbClr val="000000"/>
                        </a:solidFill>
                        <a:latin typeface="Times New Roman"/>
                        <a:ea typeface="Times New Roman"/>
                        <a:cs typeface="Times New Roman"/>
                      </a:defRPr>
                    </a:pPr>
                    <a:r>
                      <a:rPr lang="ru-RU"/>
                      <a:t>Доходы от использования имущества; 0,2%</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8"/>
              <c:layout>
                <c:manualLayout>
                  <c:x val="-0.21497215022035285"/>
                  <c:y val="0.15983881347944753"/>
                </c:manualLayout>
              </c:layout>
              <c:tx>
                <c:rich>
                  <a:bodyPr/>
                  <a:lstStyle/>
                  <a:p>
                    <a:pPr>
                      <a:defRPr sz="798" b="1" i="0" u="none" strike="noStrike" baseline="0">
                        <a:solidFill>
                          <a:srgbClr val="000000"/>
                        </a:solidFill>
                        <a:latin typeface="Times New Roman"/>
                        <a:ea typeface="Times New Roman"/>
                        <a:cs typeface="Times New Roman"/>
                      </a:defRPr>
                    </a:pPr>
                    <a:r>
                      <a:rPr lang="ru-RU"/>
                      <a:t>Платежи при пользовании природными ресурсами; 0,5%</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9"/>
              <c:layout>
                <c:manualLayout>
                  <c:x val="-0.45152214668818569"/>
                  <c:y val="0.19187810549809539"/>
                </c:manualLayout>
              </c:layout>
              <c:tx>
                <c:rich>
                  <a:bodyPr/>
                  <a:lstStyle/>
                  <a:p>
                    <a:pPr>
                      <a:defRPr sz="798" b="1" i="0" u="none" strike="noStrike" baseline="0">
                        <a:solidFill>
                          <a:srgbClr val="000000"/>
                        </a:solidFill>
                        <a:latin typeface="Times New Roman"/>
                        <a:ea typeface="Times New Roman"/>
                        <a:cs typeface="Times New Roman"/>
                      </a:defRPr>
                    </a:pPr>
                    <a:r>
                      <a:rPr lang="ru-RU"/>
                      <a:t>Доходы от оказания платных услу;0,2%</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10"/>
              <c:delete val="1"/>
            </c:dLbl>
            <c:dLbl>
              <c:idx val="11"/>
              <c:layout>
                <c:manualLayout>
                  <c:x val="-0.42958608434815215"/>
                  <c:y val="-1.8073952157405503E-2"/>
                </c:manualLayout>
              </c:layout>
              <c:tx>
                <c:rich>
                  <a:bodyPr/>
                  <a:lstStyle/>
                  <a:p>
                    <a:pPr>
                      <a:defRPr sz="800" b="1"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Times New Roman" pitchFamily="18" charset="0"/>
                        <a:cs typeface="Times New Roman" pitchFamily="18" charset="0"/>
                      </a:rPr>
                      <a:t>Штрафы, санкции, возмещение ущерба; 0,7%</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1821"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Sheet1!$B$1:$M$1</c:f>
              <c:strCache>
                <c:ptCount val="12"/>
                <c:pt idx="0">
                  <c:v>Налог на прибыль организаций</c:v>
                </c:pt>
                <c:pt idx="1">
                  <c:v>Налог на доходы физичексих лиц</c:v>
                </c:pt>
                <c:pt idx="2">
                  <c:v>Акцизы</c:v>
                </c:pt>
                <c:pt idx="3">
                  <c:v>Налоги на совокупный доход</c:v>
                </c:pt>
                <c:pt idx="4">
                  <c:v>Налог на имущество организаций</c:v>
                </c:pt>
                <c:pt idx="5">
                  <c:v>Транспортный налог</c:v>
                </c:pt>
                <c:pt idx="6">
                  <c:v>Налоги за пользование природными ресурсами</c:v>
                </c:pt>
                <c:pt idx="7">
                  <c:v>Доходы от использования имущества</c:v>
                </c:pt>
                <c:pt idx="8">
                  <c:v>Платежи при пользовании природными ресурсами</c:v>
                </c:pt>
                <c:pt idx="9">
                  <c:v>Доходы от оказания платных услуг</c:v>
                </c:pt>
                <c:pt idx="11">
                  <c:v>Штрафы, санкции, возмещение ущерба</c:v>
                </c:pt>
              </c:strCache>
            </c:strRef>
          </c:cat>
          <c:val>
            <c:numRef>
              <c:f>Sheet1!$B$2:$M$2</c:f>
              <c:numCache>
                <c:formatCode>General</c:formatCode>
                <c:ptCount val="12"/>
                <c:pt idx="0">
                  <c:v>28</c:v>
                </c:pt>
                <c:pt idx="1">
                  <c:v>35.9</c:v>
                </c:pt>
                <c:pt idx="2">
                  <c:v>5.0999999999999996</c:v>
                </c:pt>
                <c:pt idx="3">
                  <c:v>4.5</c:v>
                </c:pt>
                <c:pt idx="4">
                  <c:v>17</c:v>
                </c:pt>
                <c:pt idx="5">
                  <c:v>2.5</c:v>
                </c:pt>
                <c:pt idx="6">
                  <c:v>5.4</c:v>
                </c:pt>
                <c:pt idx="7">
                  <c:v>0.2</c:v>
                </c:pt>
                <c:pt idx="8">
                  <c:v>0.5</c:v>
                </c:pt>
                <c:pt idx="9">
                  <c:v>0.2</c:v>
                </c:pt>
                <c:pt idx="11">
                  <c:v>0.7</c:v>
                </c:pt>
              </c:numCache>
            </c:numRef>
          </c:val>
        </c:ser>
        <c:dLbls>
          <c:showLegendKey val="0"/>
          <c:showVal val="1"/>
          <c:showCatName val="1"/>
          <c:showSerName val="0"/>
          <c:showPercent val="0"/>
          <c:showBubbleSize val="0"/>
          <c:showLeaderLines val="1"/>
        </c:dLbls>
      </c:pie3DChart>
      <c:spPr>
        <a:gradFill rotWithShape="0">
          <a:gsLst>
            <a:gs pos="0">
              <a:srgbClr xmlns:mc="http://schemas.openxmlformats.org/markup-compatibility/2006" xmlns:a14="http://schemas.microsoft.com/office/drawing/2010/main" val="800000" mc:Ignorable="a14" a14:legacySpreadsheetColorIndex="16"/>
            </a:gs>
            <a:gs pos="100000">
              <a:srgbClr xmlns:mc="http://schemas.openxmlformats.org/markup-compatibility/2006" xmlns:a14="http://schemas.microsoft.com/office/drawing/2010/main" val="FFFFFF" mc:Ignorable="a14" a14:legacySpreadsheetColorIndex="16">
                <a:gamma/>
                <a:tint val="0"/>
                <a:invGamma/>
              </a:srgbClr>
            </a:gs>
          </a:gsLst>
          <a:path path="rect">
            <a:fillToRect l="50000" t="50000" r="50000" b="50000"/>
          </a:path>
        </a:gradFill>
        <a:ln w="12672">
          <a:noFill/>
          <a:prstDash val="solid"/>
        </a:ln>
      </c:spPr>
    </c:plotArea>
    <c:plotVisOnly val="1"/>
    <c:dispBlanksAs val="zero"/>
    <c:showDLblsOverMax val="0"/>
  </c:chart>
  <c:spPr>
    <a:noFill/>
    <a:ln w="25345">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spPr>
        <a:solidFill>
          <a:srgbClr val="FFC000"/>
        </a:solidFill>
        <a:ln>
          <a:solidFill>
            <a:schemeClr val="tx1">
              <a:lumMod val="95000"/>
              <a:lumOff val="5000"/>
            </a:schemeClr>
          </a:solidFill>
        </a:ln>
      </c:spPr>
    </c:floor>
    <c:sideWall>
      <c:thickness val="0"/>
    </c:sideWall>
    <c:backWall>
      <c:thickness val="0"/>
    </c:backWall>
    <c:plotArea>
      <c:layout>
        <c:manualLayout>
          <c:layoutTarget val="inner"/>
          <c:xMode val="edge"/>
          <c:yMode val="edge"/>
          <c:x val="2.2460438999489536E-2"/>
          <c:y val="4.3650793650793648E-2"/>
          <c:w val="0.89584996362437852"/>
          <c:h val="0.75633264591926008"/>
        </c:manualLayout>
      </c:layout>
      <c:bar3DChart>
        <c:barDir val="col"/>
        <c:grouping val="standard"/>
        <c:varyColors val="0"/>
        <c:ser>
          <c:idx val="0"/>
          <c:order val="0"/>
          <c:tx>
            <c:strRef>
              <c:f>Лист1!$B$1</c:f>
              <c:strCache>
                <c:ptCount val="1"/>
                <c:pt idx="0">
                  <c:v>Налоговые, неналоговые доходы</c:v>
                </c:pt>
              </c:strCache>
            </c:strRef>
          </c:tx>
          <c:spPr>
            <a:pattFill prst="lgCheck">
              <a:fgClr>
                <a:srgbClr val="C0504D">
                  <a:lumMod val="75000"/>
                </a:srgbClr>
              </a:fgClr>
              <a:bgClr>
                <a:sysClr val="window" lastClr="FFFFFF"/>
              </a:bgClr>
            </a:pattFill>
            <a:ln w="19050">
              <a:solidFill>
                <a:srgbClr val="FFC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1.3087184928836423E-4"/>
                  <c:y val="3.227947916488747E-3"/>
                </c:manualLayout>
              </c:layout>
              <c:showLegendKey val="0"/>
              <c:showVal val="1"/>
              <c:showCatName val="0"/>
              <c:showSerName val="0"/>
              <c:showPercent val="0"/>
              <c:showBubbleSize val="0"/>
            </c:dLbl>
            <c:dLbl>
              <c:idx val="1"/>
              <c:layout>
                <c:manualLayout>
                  <c:x val="-4.6295514745189588E-3"/>
                  <c:y val="7.1958141891699549E-3"/>
                </c:manualLayout>
              </c:layout>
              <c:showLegendKey val="0"/>
              <c:showVal val="1"/>
              <c:showCatName val="0"/>
              <c:showSerName val="0"/>
              <c:showPercent val="0"/>
              <c:showBubbleSize val="0"/>
            </c:dLbl>
            <c:dLbl>
              <c:idx val="2"/>
              <c:layout>
                <c:manualLayout>
                  <c:x val="-2.0833333333333332E-2"/>
                  <c:y val="1.8187620582885705E-17"/>
                </c:manualLayout>
              </c:layout>
              <c:showLegendKey val="0"/>
              <c:showVal val="1"/>
              <c:showCatName val="0"/>
              <c:showSerName val="0"/>
              <c:showPercent val="0"/>
              <c:showBubbleSize val="0"/>
            </c:dLbl>
            <c:dLbl>
              <c:idx val="3"/>
              <c:layout>
                <c:manualLayout>
                  <c:x val="-9.2592637252655822E-3"/>
                  <c:y val="-8.6767895878524948E-3"/>
                </c:manualLayout>
              </c:layout>
              <c:showLegendKey val="0"/>
              <c:showVal val="1"/>
              <c:showCatName val="0"/>
              <c:showSerName val="0"/>
              <c:showPercent val="0"/>
              <c:showBubbleSize val="0"/>
            </c:dLbl>
            <c:dLbl>
              <c:idx val="4"/>
              <c:layout>
                <c:manualLayout>
                  <c:x val="-2.3148148148148147E-2"/>
                  <c:y val="-7.9368203974503181E-3"/>
                </c:manualLayout>
              </c:layout>
              <c:showLegendKey val="0"/>
              <c:showVal val="1"/>
              <c:showCatName val="0"/>
              <c:showSerName val="0"/>
              <c:showPercent val="0"/>
              <c:showBubbleSize val="0"/>
            </c:dLbl>
            <c:dLbl>
              <c:idx val="5"/>
              <c:layout>
                <c:manualLayout>
                  <c:x val="-3.4853392177432642E-2"/>
                  <c:y val="6.8605849431510862E-3"/>
                </c:manualLayout>
              </c:layout>
              <c:showLegendKey val="0"/>
              <c:showVal val="1"/>
              <c:showCatName val="0"/>
              <c:showSerName val="0"/>
              <c:showPercent val="0"/>
              <c:showBubbleSize val="0"/>
            </c:dLbl>
            <c:dLbl>
              <c:idx val="6"/>
              <c:layout>
                <c:manualLayout>
                  <c:x val="-9.2592637252655822E-3"/>
                  <c:y val="-3.3591245779743907E-4"/>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2011 год (отчет)</c:v>
                </c:pt>
                <c:pt idx="1">
                  <c:v>2012 год (отчет)</c:v>
                </c:pt>
                <c:pt idx="2">
                  <c:v>2013 год (отчет)</c:v>
                </c:pt>
                <c:pt idx="3">
                  <c:v>2014 год (ожид.исп.)</c:v>
                </c:pt>
                <c:pt idx="4">
                  <c:v>2015 год (прогноз)</c:v>
                </c:pt>
                <c:pt idx="5">
                  <c:v>2016 год (прогноз)</c:v>
                </c:pt>
                <c:pt idx="6">
                  <c:v>2017 год (прогноз)</c:v>
                </c:pt>
              </c:strCache>
            </c:strRef>
          </c:cat>
          <c:val>
            <c:numRef>
              <c:f>Лист1!$B$2:$B$8</c:f>
              <c:numCache>
                <c:formatCode>General</c:formatCode>
                <c:ptCount val="7"/>
                <c:pt idx="0">
                  <c:v>23496.3</c:v>
                </c:pt>
                <c:pt idx="1">
                  <c:v>26464.400000000001</c:v>
                </c:pt>
                <c:pt idx="2" formatCode="0.0">
                  <c:v>26541</c:v>
                </c:pt>
                <c:pt idx="3">
                  <c:v>29381.5</c:v>
                </c:pt>
                <c:pt idx="4">
                  <c:v>30907.8</c:v>
                </c:pt>
                <c:pt idx="5" formatCode="0.0">
                  <c:v>32845</c:v>
                </c:pt>
                <c:pt idx="6">
                  <c:v>35260.1</c:v>
                </c:pt>
              </c:numCache>
            </c:numRef>
          </c:val>
        </c:ser>
        <c:ser>
          <c:idx val="1"/>
          <c:order val="1"/>
          <c:tx>
            <c:strRef>
              <c:f>Лист1!$C$1</c:f>
              <c:strCache>
                <c:ptCount val="1"/>
                <c:pt idx="0">
                  <c:v>Столбец1</c:v>
                </c:pt>
              </c:strCache>
            </c:strRef>
          </c:tx>
          <c:spPr>
            <a:solidFill>
              <a:srgbClr val="FFFF00"/>
            </a:solidFill>
          </c:spPr>
          <c:invertIfNegative val="0"/>
          <c:dLbls>
            <c:dLbl>
              <c:idx val="1"/>
              <c:layout>
                <c:manualLayout>
                  <c:x val="2.0833333333333332E-2"/>
                  <c:y val="0"/>
                </c:manualLayout>
              </c:layout>
              <c:showLegendKey val="0"/>
              <c:showVal val="1"/>
              <c:showCatName val="0"/>
              <c:showSerName val="0"/>
              <c:showPercent val="0"/>
              <c:showBubbleSize val="0"/>
            </c:dLbl>
            <c:dLbl>
              <c:idx val="2"/>
              <c:layout>
                <c:manualLayout>
                  <c:x val="3.4722222222222224E-2"/>
                  <c:y val="7.9365079365079361E-3"/>
                </c:manualLayout>
              </c:layout>
              <c:showLegendKey val="0"/>
              <c:showVal val="1"/>
              <c:showCatName val="0"/>
              <c:showSerName val="0"/>
              <c:showPercent val="0"/>
              <c:showBubbleSize val="0"/>
            </c:dLbl>
            <c:dLbl>
              <c:idx val="3"/>
              <c:layout>
                <c:manualLayout>
                  <c:x val="4.6296296296296294E-2"/>
                  <c:y val="2.3809523809523808E-2"/>
                </c:manualLayout>
              </c:layout>
              <c:showLegendKey val="0"/>
              <c:showVal val="1"/>
              <c:showCatName val="0"/>
              <c:showSerName val="0"/>
              <c:showPercent val="0"/>
              <c:showBubbleSize val="0"/>
            </c:dLbl>
            <c:dLbl>
              <c:idx val="4"/>
              <c:layout>
                <c:manualLayout>
                  <c:x val="7.1759259259259259E-2"/>
                  <c:y val="2.3809523809523808E-2"/>
                </c:manualLayout>
              </c:layout>
              <c:showLegendKey val="0"/>
              <c:showVal val="1"/>
              <c:showCatName val="0"/>
              <c:showSerName val="0"/>
              <c:showPercent val="0"/>
              <c:showBubbleSize val="0"/>
            </c:dLbl>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2011 год (отчет)</c:v>
                </c:pt>
                <c:pt idx="1">
                  <c:v>2012 год (отчет)</c:v>
                </c:pt>
                <c:pt idx="2">
                  <c:v>2013 год (отчет)</c:v>
                </c:pt>
                <c:pt idx="3">
                  <c:v>2014 год (ожид.исп.)</c:v>
                </c:pt>
                <c:pt idx="4">
                  <c:v>2015 год (прогноз)</c:v>
                </c:pt>
                <c:pt idx="5">
                  <c:v>2016 год (прогноз)</c:v>
                </c:pt>
                <c:pt idx="6">
                  <c:v>2017 год (прогноз)</c:v>
                </c:pt>
              </c:strCache>
            </c:strRef>
          </c:cat>
          <c:val>
            <c:numRef>
              <c:f>Лист1!$C$2:$C$8</c:f>
              <c:numCache>
                <c:formatCode>General</c:formatCode>
                <c:ptCount val="7"/>
              </c:numCache>
            </c:numRef>
          </c:val>
        </c:ser>
        <c:ser>
          <c:idx val="2"/>
          <c:order val="2"/>
          <c:tx>
            <c:strRef>
              <c:f>Лист1!$D$1</c:f>
              <c:strCache>
                <c:ptCount val="1"/>
                <c:pt idx="0">
                  <c:v>Ряд 3</c:v>
                </c:pt>
              </c:strCache>
            </c:strRef>
          </c:tx>
          <c:invertIfNegative val="0"/>
          <c:cat>
            <c:strRef>
              <c:f>Лист1!$A$2:$A$8</c:f>
              <c:strCache>
                <c:ptCount val="7"/>
                <c:pt idx="0">
                  <c:v>2011 год (отчет)</c:v>
                </c:pt>
                <c:pt idx="1">
                  <c:v>2012 год (отчет)</c:v>
                </c:pt>
                <c:pt idx="2">
                  <c:v>2013 год (отчет)</c:v>
                </c:pt>
                <c:pt idx="3">
                  <c:v>2014 год (ожид.исп.)</c:v>
                </c:pt>
                <c:pt idx="4">
                  <c:v>2015 год (прогноз)</c:v>
                </c:pt>
                <c:pt idx="5">
                  <c:v>2016 год (прогноз)</c:v>
                </c:pt>
                <c:pt idx="6">
                  <c:v>2017 год (прогноз)</c:v>
                </c:pt>
              </c:strCache>
            </c:strRef>
          </c:cat>
          <c:val>
            <c:numRef>
              <c:f>Лист1!$D$2:$D$8</c:f>
            </c:numRef>
          </c:val>
        </c:ser>
        <c:dLbls>
          <c:showLegendKey val="0"/>
          <c:showVal val="0"/>
          <c:showCatName val="0"/>
          <c:showSerName val="0"/>
          <c:showPercent val="0"/>
          <c:showBubbleSize val="0"/>
        </c:dLbls>
        <c:gapWidth val="150"/>
        <c:shape val="cylinder"/>
        <c:axId val="175599616"/>
        <c:axId val="175601152"/>
        <c:axId val="175360192"/>
      </c:bar3DChart>
      <c:catAx>
        <c:axId val="175599616"/>
        <c:scaling>
          <c:orientation val="minMax"/>
        </c:scaling>
        <c:delete val="0"/>
        <c:axPos val="b"/>
        <c:majorTickMark val="out"/>
        <c:minorTickMark val="none"/>
        <c:tickLblPos val="nextTo"/>
        <c:spPr>
          <a:ln>
            <a:solidFill>
              <a:srgbClr val="0070C0"/>
            </a:solidFill>
          </a:ln>
        </c:spPr>
        <c:txPr>
          <a:bodyPr/>
          <a:lstStyle/>
          <a:p>
            <a:pPr>
              <a:defRPr b="1" baseline="0">
                <a:latin typeface="Times New Roman" pitchFamily="18" charset="0"/>
              </a:defRPr>
            </a:pPr>
            <a:endParaRPr lang="ru-RU"/>
          </a:p>
        </c:txPr>
        <c:crossAx val="175601152"/>
        <c:crosses val="autoZero"/>
        <c:auto val="1"/>
        <c:lblAlgn val="ctr"/>
        <c:lblOffset val="100"/>
        <c:noMultiLvlLbl val="0"/>
      </c:catAx>
      <c:valAx>
        <c:axId val="175601152"/>
        <c:scaling>
          <c:orientation val="minMax"/>
        </c:scaling>
        <c:delete val="0"/>
        <c:axPos val="r"/>
        <c:majorGridlines>
          <c:spPr>
            <a:ln>
              <a:solidFill>
                <a:srgbClr val="002060"/>
              </a:solidFill>
            </a:ln>
          </c:spPr>
        </c:majorGridlines>
        <c:numFmt formatCode="General" sourceLinked="1"/>
        <c:majorTickMark val="out"/>
        <c:minorTickMark val="none"/>
        <c:tickLblPos val="nextTo"/>
        <c:txPr>
          <a:bodyPr/>
          <a:lstStyle/>
          <a:p>
            <a:pPr>
              <a:defRPr b="1" baseline="0">
                <a:latin typeface="Times New Roman" pitchFamily="18" charset="0"/>
              </a:defRPr>
            </a:pPr>
            <a:endParaRPr lang="ru-RU"/>
          </a:p>
        </c:txPr>
        <c:crossAx val="175599616"/>
        <c:crosses val="max"/>
        <c:crossBetween val="between"/>
      </c:valAx>
      <c:serAx>
        <c:axId val="175360192"/>
        <c:scaling>
          <c:orientation val="minMax"/>
        </c:scaling>
        <c:delete val="1"/>
        <c:axPos val="b"/>
        <c:majorTickMark val="out"/>
        <c:minorTickMark val="none"/>
        <c:tickLblPos val="nextTo"/>
        <c:crossAx val="175601152"/>
        <c:crosses val="autoZero"/>
      </c:serAx>
      <c:spPr>
        <a:noFill/>
        <a:ln>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3"/>
      <c:hPercent val="65"/>
      <c:rotY val="44"/>
      <c:depthPercent val="3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834146697659701E-2"/>
          <c:y val="3.5188557951995124E-2"/>
          <c:w val="0.92165853302340295"/>
          <c:h val="0.85591601049868771"/>
        </c:manualLayout>
      </c:layout>
      <c:bar3DChart>
        <c:barDir val="col"/>
        <c:grouping val="standard"/>
        <c:varyColors val="0"/>
        <c:ser>
          <c:idx val="1"/>
          <c:order val="0"/>
          <c:tx>
            <c:strRef>
              <c:f>Sheet1!$A$2</c:f>
              <c:strCache>
                <c:ptCount val="1"/>
              </c:strCache>
            </c:strRef>
          </c:tx>
          <c:spPr>
            <a:solidFill>
              <a:srgbClr val="0000FF"/>
            </a:solidFill>
            <a:ln w="25326">
              <a:solidFill>
                <a:srgbClr val="000000"/>
              </a:solidFill>
              <a:prstDash val="solid"/>
            </a:ln>
          </c:spPr>
          <c:invertIfNegative val="0"/>
          <c:dPt>
            <c:idx val="0"/>
            <c:invertIfNegative val="0"/>
            <c:bubble3D val="0"/>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326">
                <a:solidFill>
                  <a:srgbClr val="000000"/>
                </a:solidFill>
                <a:prstDash val="solid"/>
              </a:ln>
            </c:spPr>
          </c:dPt>
          <c:dPt>
            <c:idx val="1"/>
            <c:invertIfNegative val="0"/>
            <c:bubble3D val="0"/>
            <c:spPr>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0800000" scaled="1"/>
                <a:tileRect/>
              </a:gradFill>
              <a:ln w="25326">
                <a:solidFill>
                  <a:srgbClr val="000000"/>
                </a:solidFill>
                <a:prstDash val="solid"/>
              </a:ln>
            </c:spPr>
          </c:dPt>
          <c:dPt>
            <c:idx val="2"/>
            <c:invertIfNegative val="0"/>
            <c:bubble3D val="0"/>
            <c:spPr>
              <a:gradFill flip="none" rotWithShape="1">
                <a:gsLst>
                  <a:gs pos="0">
                    <a:srgbClr val="0000FF">
                      <a:tint val="66000"/>
                      <a:satMod val="160000"/>
                    </a:srgbClr>
                  </a:gs>
                  <a:gs pos="50000">
                    <a:srgbClr val="0000FF">
                      <a:tint val="44500"/>
                      <a:satMod val="160000"/>
                    </a:srgbClr>
                  </a:gs>
                  <a:gs pos="100000">
                    <a:srgbClr val="0000FF">
                      <a:tint val="23500"/>
                      <a:satMod val="160000"/>
                    </a:srgbClr>
                  </a:gs>
                </a:gsLst>
                <a:path path="circle">
                  <a:fillToRect l="50000" t="50000" r="50000" b="50000"/>
                </a:path>
                <a:tileRect/>
              </a:gradFill>
              <a:ln w="25326">
                <a:solidFill>
                  <a:srgbClr val="000000"/>
                </a:solidFill>
                <a:prstDash val="solid"/>
              </a:ln>
            </c:spPr>
          </c:dPt>
          <c:dPt>
            <c:idx val="3"/>
            <c:invertIfNegative val="0"/>
            <c:bubble3D val="0"/>
            <c:spPr>
              <a:solidFill>
                <a:schemeClr val="accent1"/>
              </a:solidFill>
              <a:ln w="25326">
                <a:solidFill>
                  <a:srgbClr val="000000"/>
                </a:solidFill>
                <a:prstDash val="solid"/>
              </a:ln>
            </c:spPr>
          </c:dPt>
          <c:dLbls>
            <c:dLbl>
              <c:idx val="0"/>
              <c:layout>
                <c:manualLayout>
                  <c:x val="8.6906416450648463E-2"/>
                  <c:y val="0.12040108029974514"/>
                </c:manualLayout>
              </c:layout>
              <c:showLegendKey val="0"/>
              <c:showVal val="1"/>
              <c:showCatName val="0"/>
              <c:showSerName val="0"/>
              <c:showPercent val="0"/>
              <c:showBubbleSize val="0"/>
            </c:dLbl>
            <c:dLbl>
              <c:idx val="1"/>
              <c:layout>
                <c:manualLayout>
                  <c:x val="7.5924983874697274E-2"/>
                  <c:y val="0.10680025866331926"/>
                </c:manualLayout>
              </c:layout>
              <c:showLegendKey val="0"/>
              <c:showVal val="1"/>
              <c:showCatName val="0"/>
              <c:showSerName val="0"/>
              <c:showPercent val="0"/>
              <c:showBubbleSize val="0"/>
            </c:dLbl>
            <c:dLbl>
              <c:idx val="2"/>
              <c:layout>
                <c:manualLayout>
                  <c:x val="7.1646920932340319E-2"/>
                  <c:y val="0.11388671796460227"/>
                </c:manualLayout>
              </c:layout>
              <c:showLegendKey val="0"/>
              <c:showVal val="1"/>
              <c:showCatName val="0"/>
              <c:showSerName val="0"/>
              <c:showPercent val="0"/>
              <c:showBubbleSize val="0"/>
            </c:dLbl>
            <c:dLbl>
              <c:idx val="3"/>
              <c:layout>
                <c:manualLayout>
                  <c:x val="7.8310149407521901E-2"/>
                  <c:y val="0.13526570048309178"/>
                </c:manualLayout>
              </c:layout>
              <c:showLegendKey val="0"/>
              <c:showVal val="1"/>
              <c:showCatName val="0"/>
              <c:showSerName val="0"/>
              <c:showPercent val="0"/>
              <c:showBubbleSize val="0"/>
            </c:dLbl>
            <c:spPr>
              <a:solidFill>
                <a:srgbClr val="FFFFFF"/>
              </a:solidFill>
              <a:ln w="3166">
                <a:solidFill>
                  <a:srgbClr val="000000"/>
                </a:solidFill>
                <a:prstDash val="solid"/>
              </a:ln>
              <a:effectLst>
                <a:outerShdw dist="35921" dir="2700000" algn="br">
                  <a:srgbClr val="000000"/>
                </a:outerShdw>
              </a:effectLst>
            </c:spPr>
            <c:txPr>
              <a:bodyPr/>
              <a:lstStyle/>
              <a:p>
                <a:pPr>
                  <a:defRPr sz="114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2011 год (отчет)</c:v>
                </c:pt>
                <c:pt idx="1">
                  <c:v>2012 год (отчет)</c:v>
                </c:pt>
                <c:pt idx="2">
                  <c:v>2013 год (отчет)</c:v>
                </c:pt>
                <c:pt idx="3">
                  <c:v>2014 год (ожид. исп.)</c:v>
                </c:pt>
              </c:strCache>
            </c:strRef>
          </c:cat>
          <c:val>
            <c:numRef>
              <c:f>Sheet1!$B$2:$E$2</c:f>
              <c:numCache>
                <c:formatCode>General</c:formatCode>
                <c:ptCount val="4"/>
                <c:pt idx="0">
                  <c:v>8517.9</c:v>
                </c:pt>
                <c:pt idx="1">
                  <c:v>9432.7000000000007</c:v>
                </c:pt>
                <c:pt idx="2">
                  <c:v>8067.7</c:v>
                </c:pt>
                <c:pt idx="3">
                  <c:v>8318</c:v>
                </c:pt>
              </c:numCache>
            </c:numRef>
          </c:val>
        </c:ser>
        <c:ser>
          <c:idx val="2"/>
          <c:order val="1"/>
          <c:tx>
            <c:strRef>
              <c:f>Sheet1!$A$3</c:f>
              <c:strCache>
                <c:ptCount val="1"/>
              </c:strCache>
            </c:strRef>
          </c:tx>
          <c:spPr>
            <a:solidFill>
              <a:srgbClr val="FFFF00"/>
            </a:solidFill>
            <a:ln w="25326">
              <a:solidFill>
                <a:srgbClr val="000000"/>
              </a:solidFill>
              <a:prstDash val="solid"/>
            </a:ln>
          </c:spPr>
          <c:invertIfNegative val="0"/>
          <c:dLbls>
            <c:dLbl>
              <c:idx val="0"/>
              <c:layout>
                <c:manualLayout>
                  <c:x val="3.9975174151554375E-2"/>
                  <c:y val="7.9894274085304598E-2"/>
                </c:manualLayout>
              </c:layout>
              <c:showLegendKey val="0"/>
              <c:showVal val="1"/>
              <c:showCatName val="0"/>
              <c:showSerName val="0"/>
              <c:showPercent val="0"/>
              <c:showBubbleSize val="0"/>
            </c:dLbl>
            <c:dLbl>
              <c:idx val="1"/>
              <c:layout>
                <c:manualLayout>
                  <c:x val="5.9207806567358981E-2"/>
                  <c:y val="0.16423754095955401"/>
                </c:manualLayout>
              </c:layout>
              <c:showLegendKey val="0"/>
              <c:showVal val="1"/>
              <c:showCatName val="0"/>
              <c:showSerName val="0"/>
              <c:showPercent val="0"/>
              <c:showBubbleSize val="0"/>
            </c:dLbl>
            <c:dLbl>
              <c:idx val="2"/>
              <c:layout>
                <c:manualLayout>
                  <c:x val="5.0455364356297924E-2"/>
                  <c:y val="9.9720657200458654E-2"/>
                </c:manualLayout>
              </c:layout>
              <c:showLegendKey val="0"/>
              <c:showVal val="1"/>
              <c:showCatName val="0"/>
              <c:showSerName val="0"/>
              <c:showPercent val="0"/>
              <c:showBubbleSize val="0"/>
            </c:dLbl>
            <c:dLbl>
              <c:idx val="3"/>
              <c:layout>
                <c:manualLayout>
                  <c:x val="0.19658651494861271"/>
                  <c:y val="-7.9572444748754231E-2"/>
                </c:manualLayout>
              </c:layout>
              <c:showLegendKey val="0"/>
              <c:showVal val="1"/>
              <c:showCatName val="0"/>
              <c:showSerName val="0"/>
              <c:showPercent val="0"/>
              <c:showBubbleSize val="0"/>
            </c:dLbl>
            <c:spPr>
              <a:solidFill>
                <a:srgbClr val="FFFFFF"/>
              </a:solidFill>
              <a:ln w="3166">
                <a:solidFill>
                  <a:srgbClr val="000000"/>
                </a:solidFill>
                <a:prstDash val="solid"/>
              </a:ln>
              <a:effectLst>
                <a:outerShdw dist="35921" dir="2700000" algn="br">
                  <a:srgbClr val="000000"/>
                </a:outerShdw>
              </a:effectLst>
            </c:spPr>
            <c:txPr>
              <a:bodyPr/>
              <a:lstStyle/>
              <a:p>
                <a:pPr>
                  <a:defRPr sz="114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2011 год (отчет)</c:v>
                </c:pt>
                <c:pt idx="1">
                  <c:v>2012 год (отчет)</c:v>
                </c:pt>
                <c:pt idx="2">
                  <c:v>2013 год (отчет)</c:v>
                </c:pt>
                <c:pt idx="3">
                  <c:v>2014 год (ожид. исп.)</c:v>
                </c:pt>
              </c:strCache>
            </c:strRef>
          </c:cat>
          <c:val>
            <c:numRef>
              <c:f>Sheet1!$B$3:$E$3</c:f>
              <c:numCache>
                <c:formatCode>General</c:formatCode>
                <c:ptCount val="4"/>
              </c:numCache>
            </c:numRef>
          </c:val>
        </c:ser>
        <c:ser>
          <c:idx val="0"/>
          <c:order val="2"/>
          <c:tx>
            <c:strRef>
              <c:f>Sheet1!$A$4</c:f>
              <c:strCache>
                <c:ptCount val="1"/>
              </c:strCache>
            </c:strRef>
          </c:tx>
          <c:spPr>
            <a:solidFill>
              <a:srgbClr val="CC99FF"/>
            </a:solidFill>
            <a:ln w="25326">
              <a:solidFill>
                <a:srgbClr val="000000"/>
              </a:solidFill>
              <a:prstDash val="solid"/>
            </a:ln>
          </c:spPr>
          <c:invertIfNegative val="0"/>
          <c:dLbls>
            <c:dLbl>
              <c:idx val="0"/>
              <c:layout>
                <c:manualLayout>
                  <c:x val="5.7428373685273849E-2"/>
                  <c:y val="6.1498106214984048E-2"/>
                </c:manualLayout>
              </c:layout>
              <c:tx>
                <c:rich>
                  <a:bodyPr/>
                  <a:lstStyle/>
                  <a:p>
                    <a:r>
                      <a:rPr lang="ru-RU"/>
                      <a:t>4435</a:t>
                    </a:r>
                  </a:p>
                </c:rich>
              </c:tx>
              <c:showLegendKey val="0"/>
              <c:showVal val="0"/>
              <c:showCatName val="0"/>
              <c:showSerName val="0"/>
              <c:showPercent val="0"/>
              <c:showBubbleSize val="0"/>
            </c:dLbl>
            <c:dLbl>
              <c:idx val="1"/>
              <c:layout>
                <c:manualLayout>
                  <c:x val="8.4123884600375509E-2"/>
                  <c:y val="7.2793732305200989E-2"/>
                </c:manualLayout>
              </c:layout>
              <c:tx>
                <c:rich>
                  <a:bodyPr/>
                  <a:lstStyle/>
                  <a:p>
                    <a:r>
                      <a:rPr lang="ru-RU"/>
                      <a:t>6276</a:t>
                    </a:r>
                  </a:p>
                </c:rich>
              </c:tx>
              <c:showLegendKey val="0"/>
              <c:showVal val="0"/>
              <c:showCatName val="0"/>
              <c:showSerName val="0"/>
              <c:showPercent val="0"/>
              <c:showBubbleSize val="0"/>
            </c:dLbl>
            <c:dLbl>
              <c:idx val="2"/>
              <c:layout>
                <c:manualLayout>
                  <c:x val="8.0968457314687575E-2"/>
                  <c:y val="7.2796126027724783E-2"/>
                </c:manualLayout>
              </c:layout>
              <c:tx>
                <c:rich>
                  <a:bodyPr/>
                  <a:lstStyle/>
                  <a:p>
                    <a:r>
                      <a:rPr lang="ru-RU"/>
                      <a:t>6313</a:t>
                    </a:r>
                  </a:p>
                </c:rich>
              </c:tx>
              <c:showLegendKey val="0"/>
              <c:showVal val="0"/>
              <c:showCatName val="0"/>
              <c:showSerName val="0"/>
              <c:showPercent val="0"/>
              <c:showBubbleSize val="0"/>
            </c:dLbl>
            <c:spPr>
              <a:solidFill>
                <a:srgbClr val="FFFFFF"/>
              </a:solidFill>
              <a:ln w="3166">
                <a:solidFill>
                  <a:srgbClr val="000000"/>
                </a:solidFill>
                <a:prstDash val="solid"/>
              </a:ln>
              <a:effectLst>
                <a:outerShdw dist="35921" dir="2700000" algn="br">
                  <a:srgbClr val="000000"/>
                </a:outerShdw>
              </a:effectLst>
            </c:spPr>
            <c:txPr>
              <a:bodyPr/>
              <a:lstStyle/>
              <a:p>
                <a:pPr>
                  <a:defRPr sz="97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2011 год (отчет)</c:v>
                </c:pt>
                <c:pt idx="1">
                  <c:v>2012 год (отчет)</c:v>
                </c:pt>
                <c:pt idx="2">
                  <c:v>2013 год (отчет)</c:v>
                </c:pt>
                <c:pt idx="3">
                  <c:v>2014 год (ожид. исп.)</c:v>
                </c:pt>
              </c:strCache>
            </c:strRef>
          </c:cat>
          <c:val>
            <c:numRef>
              <c:f>Sheet1!$B$4:$E$4</c:f>
              <c:numCache>
                <c:formatCode>General</c:formatCode>
                <c:ptCount val="4"/>
              </c:numCache>
            </c:numRef>
          </c:val>
        </c:ser>
        <c:dLbls>
          <c:showLegendKey val="0"/>
          <c:showVal val="1"/>
          <c:showCatName val="0"/>
          <c:showSerName val="0"/>
          <c:showPercent val="0"/>
          <c:showBubbleSize val="0"/>
        </c:dLbls>
        <c:gapWidth val="150"/>
        <c:gapDepth val="0"/>
        <c:shape val="cylinder"/>
        <c:axId val="175536768"/>
        <c:axId val="175550848"/>
        <c:axId val="175513600"/>
      </c:bar3DChart>
      <c:catAx>
        <c:axId val="175536768"/>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922" b="1" i="0" u="none" strike="noStrike" baseline="0">
                <a:solidFill>
                  <a:srgbClr val="000000"/>
                </a:solidFill>
                <a:latin typeface="Times New Roman"/>
                <a:ea typeface="Times New Roman"/>
                <a:cs typeface="Times New Roman"/>
              </a:defRPr>
            </a:pPr>
            <a:endParaRPr lang="ru-RU"/>
          </a:p>
        </c:txPr>
        <c:crossAx val="175550848"/>
        <c:crossesAt val="0"/>
        <c:auto val="1"/>
        <c:lblAlgn val="ctr"/>
        <c:lblOffset val="100"/>
        <c:tickLblSkip val="1"/>
        <c:tickMarkSkip val="1"/>
        <c:noMultiLvlLbl val="0"/>
      </c:catAx>
      <c:valAx>
        <c:axId val="175550848"/>
        <c:scaling>
          <c:orientation val="minMax"/>
          <c:max val="10000"/>
          <c:min val="0"/>
        </c:scaling>
        <c:delete val="0"/>
        <c:axPos val="l"/>
        <c:majorGridlines>
          <c:spPr>
            <a:ln w="3166">
              <a:solidFill>
                <a:srgbClr val="000000"/>
              </a:solidFill>
              <a:prstDash val="solid"/>
            </a:ln>
          </c:spPr>
        </c:majorGridlines>
        <c:numFmt formatCode="General" sourceLinked="0"/>
        <c:majorTickMark val="out"/>
        <c:minorTickMark val="none"/>
        <c:tickLblPos val="nextTo"/>
        <c:spPr>
          <a:ln w="3166">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75536768"/>
        <c:crosses val="autoZero"/>
        <c:crossBetween val="between"/>
        <c:majorUnit val="1000"/>
        <c:minorUnit val="200"/>
      </c:valAx>
      <c:serAx>
        <c:axId val="175513600"/>
        <c:scaling>
          <c:orientation val="minMax"/>
        </c:scaling>
        <c:delete val="0"/>
        <c:axPos val="b"/>
        <c:numFmt formatCode="General" sourceLinked="1"/>
        <c:majorTickMark val="out"/>
        <c:minorTickMark val="none"/>
        <c:tickLblPos val="low"/>
        <c:spPr>
          <a:ln w="3166">
            <a:solidFill>
              <a:srgbClr val="000000"/>
            </a:solidFill>
            <a:prstDash val="solid"/>
          </a:ln>
        </c:spPr>
        <c:txPr>
          <a:bodyPr rot="-5400000" vert="horz"/>
          <a:lstStyle/>
          <a:p>
            <a:pPr>
              <a:defRPr sz="798" b="1" i="0" u="none" strike="noStrike" baseline="0">
                <a:solidFill>
                  <a:srgbClr val="000000"/>
                </a:solidFill>
                <a:latin typeface="Times New Roman"/>
                <a:ea typeface="Times New Roman"/>
                <a:cs typeface="Times New Roman"/>
              </a:defRPr>
            </a:pPr>
            <a:endParaRPr lang="ru-RU"/>
          </a:p>
        </c:txPr>
        <c:crossAx val="175550848"/>
        <c:crossesAt val="0"/>
        <c:tickLblSkip val="1"/>
        <c:tickMarkSkip val="1"/>
      </c:serAx>
      <c:spPr>
        <a:noFill/>
        <a:ln w="25326">
          <a:noFill/>
        </a:ln>
      </c:spPr>
    </c:plotArea>
    <c:plotVisOnly val="1"/>
    <c:dispBlanksAs val="gap"/>
    <c:showDLblsOverMax val="0"/>
  </c:chart>
  <c:spPr>
    <a:noFill/>
    <a:ln>
      <a:noFill/>
    </a:ln>
  </c:spPr>
  <c:txPr>
    <a:bodyPr/>
    <a:lstStyle/>
    <a:p>
      <a:pPr>
        <a:defRPr sz="147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0"/>
      <c:rAngAx val="0"/>
      <c:perspective val="30"/>
    </c:view3D>
    <c:floor>
      <c:thickness val="0"/>
      <c:spPr>
        <a:solidFill>
          <a:sysClr val="window" lastClr="FFFFFF">
            <a:lumMod val="85000"/>
          </a:sysClr>
        </a:solidFill>
        <a:ln>
          <a:solidFill>
            <a:schemeClr val="tx1">
              <a:lumMod val="95000"/>
              <a:lumOff val="5000"/>
            </a:schemeClr>
          </a:solidFill>
        </a:ln>
      </c:spPr>
    </c:floor>
    <c:sideWall>
      <c:thickness val="0"/>
      <c:spPr>
        <a:gradFill flip="none" rotWithShape="1">
          <a:gsLst>
            <a:gs pos="12000">
              <a:srgbClr val="B2B9E6">
                <a:alpha val="50000"/>
              </a:srgbClr>
            </a:gs>
            <a:gs pos="0">
              <a:srgbClr val="8488C4"/>
            </a:gs>
            <a:gs pos="64570">
              <a:srgbClr val="D4DEFF"/>
            </a:gs>
            <a:gs pos="45000">
              <a:srgbClr val="D4DEFF"/>
            </a:gs>
            <a:gs pos="81000">
              <a:srgbClr val="D4DEFF"/>
            </a:gs>
            <a:gs pos="100000">
              <a:srgbClr val="96AB94"/>
            </a:gs>
          </a:gsLst>
          <a:lin ang="0" scaled="1"/>
          <a:tileRect/>
        </a:gradFill>
      </c:spPr>
    </c:sideWall>
    <c:backWall>
      <c:thickness val="0"/>
      <c:spPr>
        <a:gradFill flip="none" rotWithShape="1">
          <a:gsLst>
            <a:gs pos="12000">
              <a:srgbClr val="B2B9E6">
                <a:alpha val="50000"/>
              </a:srgbClr>
            </a:gs>
            <a:gs pos="0">
              <a:srgbClr val="8488C4"/>
            </a:gs>
            <a:gs pos="64570">
              <a:srgbClr val="D4DEFF"/>
            </a:gs>
            <a:gs pos="45000">
              <a:srgbClr val="D4DEFF"/>
            </a:gs>
            <a:gs pos="81000">
              <a:srgbClr val="D4DEFF"/>
            </a:gs>
            <a:gs pos="100000">
              <a:srgbClr val="96AB94"/>
            </a:gs>
          </a:gsLst>
          <a:lin ang="0" scaled="1"/>
          <a:tileRect/>
        </a:gradFill>
      </c:spPr>
    </c:backWall>
    <c:plotArea>
      <c:layout>
        <c:manualLayout>
          <c:layoutTarget val="inner"/>
          <c:xMode val="edge"/>
          <c:yMode val="edge"/>
          <c:x val="8.5176351131291073E-2"/>
          <c:y val="6.3492063492063489E-2"/>
          <c:w val="0.91161854768153983"/>
          <c:h val="0.81571428571428573"/>
        </c:manualLayout>
      </c:layout>
      <c:line3DChart>
        <c:grouping val="standard"/>
        <c:varyColors val="0"/>
        <c:ser>
          <c:idx val="0"/>
          <c:order val="0"/>
          <c:tx>
            <c:strRef>
              <c:f>Лист1!$B$1</c:f>
              <c:strCache>
                <c:ptCount val="1"/>
                <c:pt idx="0">
                  <c:v>Ряд 1</c:v>
                </c:pt>
              </c:strCache>
            </c:strRef>
          </c:tx>
          <c:spPr>
            <a:solidFill>
              <a:srgbClr val="4BACC6">
                <a:lumMod val="50000"/>
              </a:srgbClr>
            </a:solidFill>
            <a:ln w="25400">
              <a:solidFill>
                <a:srgbClr val="4BACC6">
                  <a:lumMod val="50000"/>
                </a:srgbClr>
              </a:solidFill>
            </a:ln>
          </c:spPr>
          <c:dLbls>
            <c:dLbl>
              <c:idx val="0"/>
              <c:layout>
                <c:manualLayout>
                  <c:x val="0"/>
                  <c:y val="2.7777777777777776E-2"/>
                </c:manualLayout>
              </c:layout>
              <c:showLegendKey val="0"/>
              <c:showVal val="1"/>
              <c:showCatName val="0"/>
              <c:showSerName val="0"/>
              <c:showPercent val="0"/>
              <c:showBubbleSize val="0"/>
            </c:dLbl>
            <c:dLbl>
              <c:idx val="1"/>
              <c:layout>
                <c:manualLayout>
                  <c:x val="-6.1823802163833074E-3"/>
                  <c:y val="5.5555555555555594E-2"/>
                </c:manualLayout>
              </c:layout>
              <c:showLegendKey val="0"/>
              <c:showVal val="1"/>
              <c:showCatName val="0"/>
              <c:showSerName val="0"/>
              <c:showPercent val="0"/>
              <c:showBubbleSize val="0"/>
            </c:dLbl>
            <c:dLbl>
              <c:idx val="2"/>
              <c:layout>
                <c:manualLayout>
                  <c:x val="2.4330900243309003E-3"/>
                  <c:y val="2.7777777777777776E-2"/>
                </c:manualLayout>
              </c:layout>
              <c:showLegendKey val="0"/>
              <c:showVal val="1"/>
              <c:showCatName val="0"/>
              <c:showSerName val="0"/>
              <c:showPercent val="0"/>
              <c:showBubbleSize val="0"/>
            </c:dLbl>
            <c:dLbl>
              <c:idx val="3"/>
              <c:layout>
                <c:manualLayout>
                  <c:x val="0"/>
                  <c:y val="2.3809523809523808E-2"/>
                </c:manualLayout>
              </c:layout>
              <c:showLegendKey val="0"/>
              <c:showVal val="1"/>
              <c:showCatName val="0"/>
              <c:showSerName val="0"/>
              <c:showPercent val="0"/>
              <c:showBubbleSize val="0"/>
            </c:dLbl>
            <c:dLbl>
              <c:idx val="4"/>
              <c:layout>
                <c:manualLayout>
                  <c:x val="-4.8662309792419688E-3"/>
                  <c:y val="4.761873515810524E-2"/>
                </c:manualLayout>
              </c:layout>
              <c:showLegendKey val="0"/>
              <c:showVal val="1"/>
              <c:showCatName val="0"/>
              <c:showSerName val="0"/>
              <c:showPercent val="0"/>
              <c:showBubbleSize val="0"/>
            </c:dLbl>
            <c:dLbl>
              <c:idx val="5"/>
              <c:layout>
                <c:manualLayout>
                  <c:x val="-2.3213945242934277E-2"/>
                  <c:y val="6.349206349206353E-2"/>
                </c:manualLayout>
              </c:layout>
              <c:showLegendKey val="0"/>
              <c:showVal val="1"/>
              <c:showCatName val="0"/>
              <c:showSerName val="0"/>
              <c:showPercent val="0"/>
              <c:showBubbleSize val="0"/>
            </c:dLbl>
            <c:dLbl>
              <c:idx val="6"/>
              <c:layout>
                <c:manualLayout>
                  <c:x val="-1.6486347243688821E-2"/>
                  <c:y val="3.968253968253968E-2"/>
                </c:manualLayout>
              </c:layout>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2011 год (отчет)</c:v>
                </c:pt>
                <c:pt idx="1">
                  <c:v>2012 год (отчет)</c:v>
                </c:pt>
                <c:pt idx="2">
                  <c:v>2013 год (отчет)</c:v>
                </c:pt>
                <c:pt idx="3">
                  <c:v>2014 год (ожид.исп.)</c:v>
                </c:pt>
                <c:pt idx="4">
                  <c:v>2015 год (прогноз)</c:v>
                </c:pt>
                <c:pt idx="5">
                  <c:v>2016 год (прогноз)</c:v>
                </c:pt>
                <c:pt idx="6">
                  <c:v>2017 год (прогноз)</c:v>
                </c:pt>
              </c:strCache>
            </c:strRef>
          </c:cat>
          <c:val>
            <c:numRef>
              <c:f>Лист1!$B$2:$B$8</c:f>
              <c:numCache>
                <c:formatCode>General</c:formatCode>
                <c:ptCount val="7"/>
                <c:pt idx="0">
                  <c:v>7117</c:v>
                </c:pt>
                <c:pt idx="1">
                  <c:v>7875.3</c:v>
                </c:pt>
                <c:pt idx="2">
                  <c:v>8482.1</c:v>
                </c:pt>
                <c:pt idx="3">
                  <c:v>10545.6</c:v>
                </c:pt>
                <c:pt idx="4">
                  <c:v>11108</c:v>
                </c:pt>
                <c:pt idx="5">
                  <c:v>11970</c:v>
                </c:pt>
                <c:pt idx="6">
                  <c:v>13049.7</c:v>
                </c:pt>
              </c:numCache>
            </c:numRef>
          </c:val>
          <c:smooth val="0"/>
        </c:ser>
        <c:dLbls>
          <c:showLegendKey val="0"/>
          <c:showVal val="0"/>
          <c:showCatName val="0"/>
          <c:showSerName val="0"/>
          <c:showPercent val="0"/>
          <c:showBubbleSize val="0"/>
        </c:dLbls>
        <c:axId val="175687168"/>
        <c:axId val="175688704"/>
        <c:axId val="175514944"/>
      </c:line3DChart>
      <c:catAx>
        <c:axId val="175687168"/>
        <c:scaling>
          <c:orientation val="minMax"/>
        </c:scaling>
        <c:delete val="0"/>
        <c:axPos val="b"/>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ru-RU"/>
          </a:p>
        </c:txPr>
        <c:crossAx val="175688704"/>
        <c:crosses val="autoZero"/>
        <c:auto val="1"/>
        <c:lblAlgn val="ctr"/>
        <c:lblOffset val="100"/>
        <c:noMultiLvlLbl val="0"/>
      </c:catAx>
      <c:valAx>
        <c:axId val="175688704"/>
        <c:scaling>
          <c:orientation val="minMax"/>
        </c:scaling>
        <c:delete val="0"/>
        <c:axPos val="l"/>
        <c:majorGridlines>
          <c:spPr>
            <a:ln>
              <a:solidFill>
                <a:schemeClr val="tx1"/>
              </a:solidFill>
            </a:ln>
          </c:spPr>
        </c:majorGridlines>
        <c:numFmt formatCode="General" sourceLinked="1"/>
        <c:majorTickMark val="out"/>
        <c:minorTickMark val="none"/>
        <c:tickLblPos val="nextTo"/>
        <c:spPr>
          <a:noFill/>
        </c:spPr>
        <c:txPr>
          <a:bodyPr/>
          <a:lstStyle/>
          <a:p>
            <a:pPr>
              <a:defRPr b="1">
                <a:latin typeface="Times New Roman" panose="02020603050405020304" pitchFamily="18" charset="0"/>
                <a:cs typeface="Times New Roman" panose="02020603050405020304" pitchFamily="18" charset="0"/>
              </a:defRPr>
            </a:pPr>
            <a:endParaRPr lang="ru-RU"/>
          </a:p>
        </c:txPr>
        <c:crossAx val="175687168"/>
        <c:crosses val="autoZero"/>
        <c:crossBetween val="between"/>
      </c:valAx>
      <c:serAx>
        <c:axId val="175514944"/>
        <c:scaling>
          <c:orientation val="minMax"/>
        </c:scaling>
        <c:delete val="1"/>
        <c:axPos val="b"/>
        <c:majorTickMark val="out"/>
        <c:minorTickMark val="none"/>
        <c:tickLblPos val="nextTo"/>
        <c:crossAx val="175688704"/>
        <c:crosses val="autoZero"/>
      </c:ser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689516287941485"/>
          <c:y val="0.21824750985624708"/>
          <c:w val="0.6665440271293539"/>
          <c:h val="0.64989194532501815"/>
        </c:manualLayout>
      </c:layout>
      <c:pie3DChart>
        <c:varyColors val="1"/>
        <c:ser>
          <c:idx val="0"/>
          <c:order val="0"/>
          <c:tx>
            <c:strRef>
              <c:f>Лист1!$B$1</c:f>
              <c:strCache>
                <c:ptCount val="1"/>
                <c:pt idx="0">
                  <c:v>Столбец1</c:v>
                </c:pt>
              </c:strCache>
            </c:strRef>
          </c:tx>
          <c:dPt>
            <c:idx val="0"/>
            <c:bubble3D val="0"/>
            <c:spPr>
              <a:solidFill>
                <a:srgbClr val="C00000"/>
              </a:solidFill>
            </c:spPr>
          </c:dPt>
          <c:dPt>
            <c:idx val="1"/>
            <c:bubble3D val="0"/>
            <c:explosion val="15"/>
            <c:spPr>
              <a:solidFill>
                <a:srgbClr val="F79646">
                  <a:lumMod val="75000"/>
                </a:srgbClr>
              </a:solidFill>
            </c:spPr>
          </c:dPt>
          <c:dPt>
            <c:idx val="2"/>
            <c:bubble3D val="0"/>
            <c:spPr>
              <a:solidFill>
                <a:srgbClr val="FFFF00"/>
              </a:solidFill>
            </c:spPr>
          </c:dPt>
          <c:dPt>
            <c:idx val="3"/>
            <c:bubble3D val="0"/>
            <c:explosion val="8"/>
            <c:spPr>
              <a:solidFill>
                <a:srgbClr val="7030A0"/>
              </a:solidFill>
            </c:spPr>
          </c:dPt>
          <c:dPt>
            <c:idx val="4"/>
            <c:bubble3D val="0"/>
            <c:spPr>
              <a:solidFill>
                <a:srgbClr val="00B0F0"/>
              </a:solidFill>
            </c:spPr>
          </c:dPt>
          <c:dLbls>
            <c:dLbl>
              <c:idx val="0"/>
              <c:layout>
                <c:manualLayout>
                  <c:x val="7.8350949374571419E-2"/>
                  <c:y val="-6.9449038535455032E-2"/>
                </c:manualLayout>
              </c:layout>
              <c:tx>
                <c:rich>
                  <a:bodyPr/>
                  <a:lstStyle/>
                  <a:p>
                    <a:r>
                      <a:rPr lang="ru-RU" sz="800" b="1" i="0" baseline="0">
                        <a:latin typeface="Times New Roman" pitchFamily="18" charset="0"/>
                      </a:rPr>
                      <a:t>Акцизы на пиво;  0,4</a:t>
                    </a:r>
                    <a:endParaRPr lang="ru-RU" sz="870" b="1" i="0" baseline="0"/>
                  </a:p>
                </c:rich>
              </c:tx>
              <c:showLegendKey val="1"/>
              <c:showVal val="1"/>
              <c:showCatName val="1"/>
              <c:showSerName val="0"/>
              <c:showPercent val="0"/>
              <c:showBubbleSize val="0"/>
            </c:dLbl>
            <c:dLbl>
              <c:idx val="1"/>
              <c:layout>
                <c:manualLayout>
                  <c:x val="-2.2022022022022022E-2"/>
                  <c:y val="-0.17929452333102713"/>
                </c:manualLayout>
              </c:layout>
              <c:showLegendKey val="1"/>
              <c:showVal val="1"/>
              <c:showCatName val="1"/>
              <c:showSerName val="0"/>
              <c:showPercent val="0"/>
              <c:showBubbleSize val="0"/>
            </c:dLbl>
            <c:dLbl>
              <c:idx val="2"/>
              <c:layout>
                <c:manualLayout>
                  <c:x val="2.893350042956342E-2"/>
                  <c:y val="-0.28187451428906574"/>
                </c:manualLayout>
              </c:layout>
              <c:showLegendKey val="1"/>
              <c:showVal val="1"/>
              <c:showCatName val="1"/>
              <c:showSerName val="0"/>
              <c:showPercent val="0"/>
              <c:showBubbleSize val="0"/>
            </c:dLbl>
            <c:dLbl>
              <c:idx val="3"/>
              <c:layout>
                <c:manualLayout>
                  <c:x val="0"/>
                  <c:y val="0.17505447293948592"/>
                </c:manualLayout>
              </c:layout>
              <c:showLegendKey val="1"/>
              <c:showVal val="1"/>
              <c:showCatName val="1"/>
              <c:showSerName val="0"/>
              <c:showPercent val="0"/>
              <c:showBubbleSize val="0"/>
            </c:dLbl>
            <c:dLbl>
              <c:idx val="4"/>
              <c:layout>
                <c:manualLayout>
                  <c:x val="-0.25015330290920845"/>
                  <c:y val="6.2437865657854223E-3"/>
                </c:manualLayout>
              </c:layout>
              <c:tx>
                <c:rich>
                  <a:bodyPr/>
                  <a:lstStyle/>
                  <a:p>
                    <a:r>
                      <a:rPr lang="ru-RU" sz="800"/>
                      <a:t>Доходы от уплаты акцизов на прямогонный бензин; 0,3</a:t>
                    </a:r>
                    <a:endParaRPr lang="ru-RU"/>
                  </a:p>
                </c:rich>
              </c:tx>
              <c:showLegendKey val="1"/>
              <c:showVal val="1"/>
              <c:showCatName val="1"/>
              <c:showSerName val="0"/>
              <c:showPercent val="0"/>
              <c:showBubbleSize val="0"/>
            </c:dLbl>
            <c:dLbl>
              <c:idx val="5"/>
              <c:layout>
                <c:manualLayout>
                  <c:x val="-8.0736146919688449E-3"/>
                  <c:y val="0.18888934337753294"/>
                </c:manualLayout>
              </c:layout>
              <c:showLegendKey val="1"/>
              <c:showVal val="1"/>
              <c:showCatName val="1"/>
              <c:showSerName val="0"/>
              <c:showPercent val="0"/>
              <c:showBubbleSize val="0"/>
            </c:dLbl>
            <c:dLbl>
              <c:idx val="6"/>
              <c:layout>
                <c:manualLayout>
                  <c:x val="-2.6730154305932983E-2"/>
                  <c:y val="-9.3655565781550806E-2"/>
                </c:manualLayout>
              </c:layout>
              <c:showLegendKey val="1"/>
              <c:showVal val="1"/>
              <c:showCatName val="1"/>
              <c:showSerName val="0"/>
              <c:showPercent val="0"/>
              <c:showBubbleSize val="0"/>
            </c:dLbl>
            <c:dLbl>
              <c:idx val="7"/>
              <c:layout>
                <c:manualLayout>
                  <c:x val="0.10533156806726593"/>
                  <c:y val="2.1645021645021706E-3"/>
                </c:manualLayout>
              </c:layout>
              <c:tx>
                <c:rich>
                  <a:bodyPr/>
                  <a:lstStyle/>
                  <a:p>
                    <a:r>
                      <a:rPr lang="ru-RU" sz="800" b="1" i="0" baseline="0">
                        <a:latin typeface="Times New Roman" pitchFamily="18" charset="0"/>
                      </a:rPr>
                      <a:t>Доходы от уплаты акцизов на алкогольную продукцию с объемной долей спирта этилового свыше 25 процентов (за исключеним вин), подлежащие распределению в консолидированные бюджеты субъектов РФ; 13,0</a:t>
                    </a:r>
                  </a:p>
                  <a:p>
                    <a:endParaRPr lang="ru-RU" sz="870" b="1" i="0" baseline="0"/>
                  </a:p>
                </c:rich>
              </c:tx>
              <c:showLegendKey val="1"/>
              <c:showVal val="1"/>
              <c:showCatName val="1"/>
              <c:showSerName val="0"/>
              <c:showPercent val="0"/>
              <c:showBubbleSize val="0"/>
            </c:dLbl>
            <c:txPr>
              <a:bodyPr/>
              <a:lstStyle/>
              <a:p>
                <a:pPr>
                  <a:defRPr sz="800" b="1" i="0" baseline="0">
                    <a:latin typeface="Times New Roman" pitchFamily="18" charset="0"/>
                  </a:defRPr>
                </a:pPr>
                <a:endParaRPr lang="ru-RU"/>
              </a:p>
            </c:txPr>
            <c:showLegendKey val="1"/>
            <c:showVal val="1"/>
            <c:showCatName val="1"/>
            <c:showSerName val="0"/>
            <c:showPercent val="0"/>
            <c:showBubbleSize val="0"/>
            <c:showLeaderLines val="1"/>
            <c:leaderLines>
              <c:spPr>
                <a:ln>
                  <a:solidFill>
                    <a:schemeClr val="tx1"/>
                  </a:solidFill>
                </a:ln>
              </c:spPr>
            </c:leaderLines>
          </c:dLbls>
          <c:cat>
            <c:strRef>
              <c:f>Лист1!$A$2:$A$6</c:f>
              <c:strCache>
                <c:ptCount val="5"/>
                <c:pt idx="0">
                  <c:v>Акцизы на пиво</c:v>
                </c:pt>
                <c:pt idx="1">
                  <c:v>Доходы от уплаты акцизов на дизельное топливо</c:v>
                </c:pt>
                <c:pt idx="2">
                  <c:v>Доходы от уплаты акцизов на моторные масла для дизельных и (или) карбюраторных (инжекторных) двигателей</c:v>
                </c:pt>
                <c:pt idx="3">
                  <c:v>Доходы от уплаты акцизов на автомобильный бензин</c:v>
                </c:pt>
                <c:pt idx="4">
                  <c:v>Доходы от уплаты акцизов на прямогонный бензин</c:v>
                </c:pt>
              </c:strCache>
            </c:strRef>
          </c:cat>
          <c:val>
            <c:numRef>
              <c:f>Лист1!$B$2:$B$6</c:f>
              <c:numCache>
                <c:formatCode>General</c:formatCode>
                <c:ptCount val="5"/>
                <c:pt idx="0">
                  <c:v>0.4</c:v>
                </c:pt>
                <c:pt idx="1">
                  <c:v>32.700000000000003</c:v>
                </c:pt>
                <c:pt idx="2">
                  <c:v>0.8</c:v>
                </c:pt>
                <c:pt idx="3">
                  <c:v>65.8</c:v>
                </c:pt>
                <c:pt idx="4">
                  <c:v>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solidFill>
        <a:srgbClr val="4F81BD">
          <a:lumMod val="20000"/>
          <a:lumOff val="80000"/>
        </a:srgbClr>
      </a:solid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2.3133543638275501E-2"/>
          <c:y val="4.0310077519379851E-2"/>
          <c:w val="0.61934805467928522"/>
          <c:h val="0.60620155038759704"/>
        </c:manualLayout>
      </c:layout>
      <c:pie3DChart>
        <c:varyColors val="1"/>
        <c:ser>
          <c:idx val="0"/>
          <c:order val="0"/>
          <c:tx>
            <c:strRef>
              <c:f>Лист1!$B$1</c:f>
              <c:strCache>
                <c:ptCount val="1"/>
                <c:pt idx="0">
                  <c:v>Столбец1</c:v>
                </c:pt>
              </c:strCache>
            </c:strRef>
          </c:tx>
          <c:explosion val="25"/>
          <c:dPt>
            <c:idx val="0"/>
            <c:bubble3D val="0"/>
            <c:spPr>
              <a:solidFill>
                <a:srgbClr val="00B0F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rgbClr val="FFFF00"/>
              </a:solidFill>
            </c:spPr>
          </c:dPt>
          <c:dLbls>
            <c:dLbl>
              <c:idx val="0"/>
              <c:layout>
                <c:manualLayout>
                  <c:x val="0.55488727370617141"/>
                  <c:y val="5.1872948505550358E-4"/>
                </c:manualLayout>
              </c:layout>
              <c:tx>
                <c:rich>
                  <a:bodyPr/>
                  <a:lstStyle/>
                  <a:p>
                    <a:r>
                      <a:rPr lang="ru-RU" sz="1000">
                        <a:latin typeface="Times New Roman" pitchFamily="18" charset="0"/>
                        <a:cs typeface="Times New Roman" pitchFamily="18" charset="0"/>
                      </a:rPr>
                      <a:t>Доходы, получаемые в виде арендной платы либо иной платы за передачу в возмездное пользование государственного имущества;
</a:t>
                    </a:r>
                    <a:r>
                      <a:rPr lang="ru-RU" sz="1000" b="1">
                        <a:latin typeface="Times New Roman" pitchFamily="18" charset="0"/>
                        <a:cs typeface="Times New Roman" pitchFamily="18" charset="0"/>
                      </a:rPr>
                      <a:t> 44179</a:t>
                    </a:r>
                    <a:r>
                      <a:rPr lang="ru-RU" sz="1000" b="1" baseline="0">
                        <a:latin typeface="Times New Roman" pitchFamily="18" charset="0"/>
                        <a:cs typeface="Times New Roman" pitchFamily="18" charset="0"/>
                      </a:rPr>
                      <a:t> </a:t>
                    </a:r>
                    <a:r>
                      <a:rPr lang="ru-RU" sz="1000" b="1">
                        <a:latin typeface="Times New Roman" pitchFamily="18" charset="0"/>
                        <a:cs typeface="Times New Roman" pitchFamily="18" charset="0"/>
                      </a:rPr>
                      <a:t>тыс. рублей;
85,7 %</a:t>
                    </a:r>
                    <a:endParaRPr lang="ru-RU" sz="1100" b="1"/>
                  </a:p>
                </c:rich>
              </c:tx>
              <c:dLblPos val="bestFit"/>
              <c:showLegendKey val="1"/>
              <c:showVal val="0"/>
              <c:showCatName val="0"/>
              <c:showSerName val="0"/>
              <c:showPercent val="0"/>
              <c:showBubbleSize val="0"/>
            </c:dLbl>
            <c:dLbl>
              <c:idx val="1"/>
              <c:layout>
                <c:manualLayout>
                  <c:x val="0.24073871680866391"/>
                  <c:y val="-2.6313617774522322E-2"/>
                </c:manualLayout>
              </c:layout>
              <c:tx>
                <c:rich>
                  <a:bodyPr/>
                  <a:lstStyle/>
                  <a:p>
                    <a:r>
                      <a:rPr lang="ru-RU" sz="1000">
                        <a:latin typeface="Times New Roman" pitchFamily="18" charset="0"/>
                        <a:cs typeface="Times New Roman" pitchFamily="18" charset="0"/>
                      </a:rPr>
                      <a:t>Проценты, полученные от предоставления бюджетных кредитов внутри страны; </a:t>
                    </a:r>
                  </a:p>
                  <a:p>
                    <a:r>
                      <a:rPr lang="ru-RU" sz="1000" b="1">
                        <a:latin typeface="Times New Roman" pitchFamily="18" charset="0"/>
                        <a:cs typeface="Times New Roman" pitchFamily="18" charset="0"/>
                      </a:rPr>
                      <a:t>5863 тыс. рублей; 11,4%</a:t>
                    </a:r>
                    <a:endParaRPr lang="ru-RU" b="1"/>
                  </a:p>
                </c:rich>
              </c:tx>
              <c:dLblPos val="bestFit"/>
              <c:showLegendKey val="1"/>
              <c:showVal val="0"/>
              <c:showCatName val="0"/>
              <c:showSerName val="0"/>
              <c:showPercent val="0"/>
              <c:showBubbleSize val="0"/>
            </c:dLbl>
            <c:dLbl>
              <c:idx val="2"/>
              <c:layout>
                <c:manualLayout>
                  <c:x val="0.13084628844471363"/>
                  <c:y val="1.1466155383059387E-2"/>
                </c:manualLayout>
              </c:layout>
              <c:tx>
                <c:rich>
                  <a:bodyPr/>
                  <a:lstStyle/>
                  <a:p>
                    <a:r>
                      <a:rPr lang="ru-RU" sz="1000">
                        <a:latin typeface="Times New Roman" pitchFamily="18" charset="0"/>
                        <a:cs typeface="Times New Roman" pitchFamily="18" charset="0"/>
                      </a:rPr>
                      <a:t>Прочие доходы от использования имущества и прав, находящихся в государственной собственности; </a:t>
                    </a:r>
                  </a:p>
                  <a:p>
                    <a:r>
                      <a:rPr lang="ru-RU" sz="1000" b="1">
                        <a:latin typeface="Times New Roman" pitchFamily="18" charset="0"/>
                        <a:cs typeface="Times New Roman" pitchFamily="18" charset="0"/>
                      </a:rPr>
                      <a:t>45 тыс. рублей; 0,1%</a:t>
                    </a:r>
                    <a:endParaRPr lang="ru-RU" b="1"/>
                  </a:p>
                </c:rich>
              </c:tx>
              <c:dLblPos val="bestFit"/>
              <c:showLegendKey val="1"/>
              <c:showVal val="0"/>
              <c:showCatName val="0"/>
              <c:showSerName val="0"/>
              <c:showPercent val="0"/>
              <c:showBubbleSize val="0"/>
            </c:dLbl>
            <c:dLbl>
              <c:idx val="3"/>
              <c:layout>
                <c:manualLayout>
                  <c:x val="-3.9075651821124893E-2"/>
                  <c:y val="9.9040712934139047E-2"/>
                </c:manualLayout>
              </c:layout>
              <c:tx>
                <c:rich>
                  <a:bodyPr/>
                  <a:lstStyle/>
                  <a:p>
                    <a:r>
                      <a:rPr lang="ru-RU" sz="1000">
                        <a:latin typeface="Times New Roman" pitchFamily="18" charset="0"/>
                        <a:cs typeface="Times New Roman" pitchFamily="18" charset="0"/>
                      </a:rPr>
                      <a:t>Платежи от государственных унитарных предприятий; </a:t>
                    </a:r>
                  </a:p>
                  <a:p>
                    <a:r>
                      <a:rPr lang="ru-RU" sz="1000" b="1">
                        <a:latin typeface="Times New Roman" pitchFamily="18" charset="0"/>
                        <a:cs typeface="Times New Roman" pitchFamily="18" charset="0"/>
                      </a:rPr>
                      <a:t>980 тыс. рублей; 1,9%</a:t>
                    </a:r>
                    <a:endParaRPr lang="ru-RU" sz="1200" b="1"/>
                  </a:p>
                </c:rich>
              </c:tx>
              <c:dLblPos val="bestFit"/>
              <c:showLegendKey val="1"/>
              <c:showVal val="0"/>
              <c:showCatName val="0"/>
              <c:showSerName val="0"/>
              <c:showPercent val="0"/>
              <c:showBubbleSize val="0"/>
            </c:dLbl>
            <c:dLbl>
              <c:idx val="4"/>
              <c:layout>
                <c:manualLayout>
                  <c:x val="-0.22311714978845312"/>
                  <c:y val="3.0823658670573163E-2"/>
                </c:manualLayout>
              </c:layout>
              <c:tx>
                <c:rich>
                  <a:bodyPr/>
                  <a:lstStyle/>
                  <a:p>
                    <a:r>
                      <a:rPr lang="ru-RU" sz="1000">
                        <a:latin typeface="Times New Roman" pitchFamily="18" charset="0"/>
                        <a:cs typeface="Times New Roman" pitchFamily="18" charset="0"/>
                      </a:rPr>
                      <a:t>Доходы в виде прибыли, приходящейся на доли в уставных (складочных) капиталах хозяйственных товариществ и обществ; </a:t>
                    </a:r>
                  </a:p>
                  <a:p>
                    <a:r>
                      <a:rPr lang="ru-RU" sz="1000" b="1">
                        <a:latin typeface="Times New Roman" pitchFamily="18" charset="0"/>
                        <a:cs typeface="Times New Roman" pitchFamily="18" charset="0"/>
                      </a:rPr>
                      <a:t>500 тыс. рублей; 0,9%</a:t>
                    </a:r>
                    <a:endParaRPr lang="ru-RU" sz="1200" b="1"/>
                  </a:p>
                </c:rich>
              </c:tx>
              <c:dLblPos val="bestFit"/>
              <c:showLegendKey val="1"/>
              <c:showVal val="0"/>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showLeaderLines val="1"/>
          </c:dLbls>
          <c:cat>
            <c:strRef>
              <c:f>Лист1!$A$2:$A$6</c:f>
              <c:strCache>
                <c:ptCount val="5"/>
                <c:pt idx="0">
                  <c:v>Доходы, получаемые в виде арендной платы либо иной платы за передачу в возмездное пользование государственного и муниципального имущества</c:v>
                </c:pt>
                <c:pt idx="1">
                  <c:v>Проценты, полученные от предоставления бюджетных кредитов внутри страны</c:v>
                </c:pt>
                <c:pt idx="2">
                  <c:v>Прочие доходы от использования имущества и прав, находящихся в государственной и имуниципальной собственности</c:v>
                </c:pt>
                <c:pt idx="3">
                  <c:v>Платежи от государственных и муниципальных унитарных предприятий</c:v>
                </c:pt>
                <c:pt idx="4">
                  <c:v>Доходы в виде прибыли, приходящейся на доли в уставных (складочных) капиталах хозяйственных товариществ и обществ</c:v>
                </c:pt>
              </c:strCache>
            </c:strRef>
          </c:cat>
          <c:val>
            <c:numRef>
              <c:f>Лист1!$B$2:$B$6</c:f>
              <c:numCache>
                <c:formatCode>General</c:formatCode>
                <c:ptCount val="5"/>
                <c:pt idx="0">
                  <c:v>42753</c:v>
                </c:pt>
                <c:pt idx="1">
                  <c:v>3967</c:v>
                </c:pt>
                <c:pt idx="2">
                  <c:v>11.4</c:v>
                </c:pt>
                <c:pt idx="3">
                  <c:v>886</c:v>
                </c:pt>
                <c:pt idx="4">
                  <c:v>450</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60"/>
      <c:depthPercent val="270"/>
      <c:rAngAx val="0"/>
      <c:perspective val="0"/>
    </c:view3D>
    <c:floor>
      <c:thickness val="0"/>
    </c:floor>
    <c:sideWall>
      <c:thickness val="0"/>
    </c:sideWall>
    <c:backWall>
      <c:thickness val="0"/>
    </c:backWall>
    <c:plotArea>
      <c:layout>
        <c:manualLayout>
          <c:layoutTarget val="inner"/>
          <c:xMode val="edge"/>
          <c:yMode val="edge"/>
          <c:x val="0"/>
          <c:y val="0.21261985109004231"/>
          <c:w val="1"/>
          <c:h val="0.48935286315017074"/>
        </c:manualLayout>
      </c:layout>
      <c:pie3DChart>
        <c:varyColors val="1"/>
        <c:ser>
          <c:idx val="0"/>
          <c:order val="0"/>
          <c:tx>
            <c:strRef>
              <c:f>Лист1!$C$1</c:f>
              <c:strCache>
                <c:ptCount val="1"/>
                <c:pt idx="0">
                  <c:v>Продажи</c:v>
                </c:pt>
              </c:strCache>
            </c:strRef>
          </c:tx>
          <c:explosion val="25"/>
          <c:dPt>
            <c:idx val="2"/>
            <c:bubble3D val="0"/>
            <c:spPr>
              <a:solidFill>
                <a:srgbClr val="FFFF00"/>
              </a:solidFill>
            </c:spPr>
          </c:dPt>
          <c:dPt>
            <c:idx val="3"/>
            <c:bubble3D val="0"/>
            <c:spPr>
              <a:solidFill>
                <a:srgbClr val="FF33CC"/>
              </a:solidFill>
            </c:spPr>
          </c:dPt>
          <c:dPt>
            <c:idx val="4"/>
            <c:bubble3D val="0"/>
            <c:spPr>
              <a:solidFill>
                <a:srgbClr val="00B050"/>
              </a:solidFill>
            </c:spPr>
          </c:dPt>
          <c:dPt>
            <c:idx val="5"/>
            <c:bubble3D val="0"/>
            <c:spPr>
              <a:solidFill>
                <a:schemeClr val="accent6">
                  <a:lumMod val="40000"/>
                  <a:lumOff val="60000"/>
                </a:schemeClr>
              </a:solidFill>
            </c:spPr>
          </c:dPt>
          <c:dPt>
            <c:idx val="7"/>
            <c:bubble3D val="0"/>
            <c:spPr>
              <a:solidFill>
                <a:srgbClr val="FF0000"/>
              </a:solidFill>
            </c:spPr>
          </c:dPt>
          <c:dPt>
            <c:idx val="8"/>
            <c:bubble3D val="0"/>
            <c:explosion val="32"/>
          </c:dPt>
          <c:dLbls>
            <c:dLbl>
              <c:idx val="0"/>
              <c:layout>
                <c:manualLayout>
                  <c:x val="3.4482758620689655E-2"/>
                  <c:y val="-6.6607690828131616E-2"/>
                </c:manualLayout>
              </c:layout>
              <c:tx>
                <c:rich>
                  <a:bodyPr/>
                  <a:lstStyle/>
                  <a:p>
                    <a:r>
                      <a:rPr lang="ru-RU"/>
                      <a:t>Развитие с/х и регулирование рынков с/х продукции
</a:t>
                    </a:r>
                    <a:r>
                      <a:rPr lang="ru-RU" sz="1100" b="1"/>
                      <a:t>2,7%</a:t>
                    </a:r>
                  </a:p>
                </c:rich>
              </c:tx>
              <c:showLegendKey val="0"/>
              <c:showVal val="0"/>
              <c:showCatName val="1"/>
              <c:showSerName val="0"/>
              <c:showPercent val="1"/>
              <c:showBubbleSize val="0"/>
              <c:separator>
</c:separator>
            </c:dLbl>
            <c:dLbl>
              <c:idx val="1"/>
              <c:layout>
                <c:manualLayout>
                  <c:x val="3.7041527153974456E-2"/>
                  <c:y val="-2.7245035230811201E-2"/>
                </c:manualLayout>
              </c:layout>
              <c:tx>
                <c:rich>
                  <a:bodyPr/>
                  <a:lstStyle/>
                  <a:p>
                    <a:r>
                      <a:rPr lang="ru-RU"/>
                      <a:t>Развитие системы соц. защиты населения
</a:t>
                    </a:r>
                    <a:r>
                      <a:rPr lang="ru-RU" sz="1100" b="1"/>
                      <a:t>17,2%</a:t>
                    </a:r>
                  </a:p>
                </c:rich>
              </c:tx>
              <c:showLegendKey val="0"/>
              <c:showVal val="0"/>
              <c:showCatName val="1"/>
              <c:showSerName val="0"/>
              <c:showPercent val="1"/>
              <c:showBubbleSize val="0"/>
              <c:separator>
</c:separator>
            </c:dLbl>
            <c:dLbl>
              <c:idx val="2"/>
              <c:layout>
                <c:manualLayout>
                  <c:x val="6.9800736114882189E-2"/>
                  <c:y val="2.3514034743739191E-2"/>
                </c:manualLayout>
              </c:layout>
              <c:tx>
                <c:rich>
                  <a:bodyPr/>
                  <a:lstStyle/>
                  <a:p>
                    <a:r>
                      <a:rPr lang="ru-RU"/>
                      <a:t>Развитие и сохранение культуры и искусства
</a:t>
                    </a:r>
                    <a:r>
                      <a:rPr lang="ru-RU" sz="1100" b="1"/>
                      <a:t>0,6%</a:t>
                    </a:r>
                  </a:p>
                </c:rich>
              </c:tx>
              <c:showLegendKey val="0"/>
              <c:showVal val="0"/>
              <c:showCatName val="1"/>
              <c:showSerName val="0"/>
              <c:showPercent val="1"/>
              <c:showBubbleSize val="0"/>
              <c:separator>
</c:separator>
            </c:dLbl>
            <c:dLbl>
              <c:idx val="3"/>
              <c:layout>
                <c:manualLayout>
                  <c:x val="8.9265373221915412E-2"/>
                  <c:y val="0.17376943266707034"/>
                </c:manualLayout>
              </c:layout>
              <c:tx>
                <c:rich>
                  <a:bodyPr/>
                  <a:lstStyle/>
                  <a:p>
                    <a:r>
                      <a:rPr lang="ru-RU"/>
                      <a:t>Модернизация ЖКК, энергоснабжение и повышение энергетической эффективности
</a:t>
                    </a:r>
                    <a:r>
                      <a:rPr lang="ru-RU" sz="1100" b="1"/>
                      <a:t>4,4%</a:t>
                    </a:r>
                  </a:p>
                </c:rich>
              </c:tx>
              <c:showLegendKey val="0"/>
              <c:showVal val="0"/>
              <c:showCatName val="1"/>
              <c:showSerName val="0"/>
              <c:showPercent val="1"/>
              <c:showBubbleSize val="0"/>
              <c:separator>
</c:separator>
            </c:dLbl>
            <c:dLbl>
              <c:idx val="4"/>
              <c:layout>
                <c:manualLayout>
                  <c:x val="-8.2547892720306437E-2"/>
                  <c:y val="0.10989741557288142"/>
                </c:manualLayout>
              </c:layout>
              <c:tx>
                <c:rich>
                  <a:bodyPr/>
                  <a:lstStyle/>
                  <a:p>
                    <a:r>
                      <a:rPr lang="ru-RU"/>
                      <a:t>Охрана окружающей среды
</a:t>
                    </a:r>
                    <a:r>
                      <a:rPr lang="ru-RU" sz="1100" b="1"/>
                      <a:t>0,5%</a:t>
                    </a:r>
                  </a:p>
                </c:rich>
              </c:tx>
              <c:showLegendKey val="0"/>
              <c:showVal val="0"/>
              <c:showCatName val="1"/>
              <c:showSerName val="0"/>
              <c:showPercent val="1"/>
              <c:showBubbleSize val="0"/>
              <c:separator>
</c:separator>
            </c:dLbl>
            <c:dLbl>
              <c:idx val="5"/>
              <c:layout>
                <c:manualLayout>
                  <c:x val="0.11685808670467916"/>
                  <c:y val="0.16168422513525721"/>
                </c:manualLayout>
              </c:layout>
              <c:tx>
                <c:rich>
                  <a:bodyPr/>
                  <a:lstStyle/>
                  <a:p>
                    <a:r>
                      <a:rPr lang="ru-RU"/>
                      <a:t>Развитие здравоохранения
</a:t>
                    </a:r>
                    <a:r>
                      <a:rPr lang="ru-RU" sz="1100" b="1"/>
                      <a:t>19,3%</a:t>
                    </a:r>
                  </a:p>
                </c:rich>
              </c:tx>
              <c:showLegendKey val="0"/>
              <c:showVal val="0"/>
              <c:showCatName val="1"/>
              <c:showSerName val="0"/>
              <c:showPercent val="1"/>
              <c:showBubbleSize val="0"/>
              <c:separator>
</c:separator>
            </c:dLbl>
            <c:dLbl>
              <c:idx val="6"/>
              <c:layout>
                <c:manualLayout>
                  <c:x val="0.12950402751380216"/>
                  <c:y val="0.1894619382295234"/>
                </c:manualLayout>
              </c:layout>
              <c:tx>
                <c:rich>
                  <a:bodyPr/>
                  <a:lstStyle/>
                  <a:p>
                    <a:r>
                      <a:rPr lang="ru-RU"/>
                      <a:t>Обеспечение доступным и качественным жильем населения
</a:t>
                    </a:r>
                    <a:r>
                      <a:rPr lang="ru-RU" sz="1100" b="1"/>
                      <a:t>2,2%</a:t>
                    </a:r>
                  </a:p>
                </c:rich>
              </c:tx>
              <c:showLegendKey val="0"/>
              <c:showVal val="0"/>
              <c:showCatName val="1"/>
              <c:showSerName val="0"/>
              <c:showPercent val="1"/>
              <c:showBubbleSize val="0"/>
              <c:separator>
</c:separator>
            </c:dLbl>
            <c:dLbl>
              <c:idx val="7"/>
              <c:layout>
                <c:manualLayout>
                  <c:x val="-9.6058014299936642E-2"/>
                  <c:y val="0.21807631960961379"/>
                </c:manualLayout>
              </c:layout>
              <c:tx>
                <c:rich>
                  <a:bodyPr/>
                  <a:lstStyle/>
                  <a:p>
                    <a:r>
                      <a:rPr lang="ru-RU"/>
                      <a:t>Экономическое развитие и инновационная экономика
</a:t>
                    </a:r>
                    <a:r>
                      <a:rPr lang="ru-RU" sz="1100" b="1"/>
                      <a:t>1,0%</a:t>
                    </a:r>
                  </a:p>
                </c:rich>
              </c:tx>
              <c:showLegendKey val="0"/>
              <c:showVal val="0"/>
              <c:showCatName val="1"/>
              <c:showSerName val="0"/>
              <c:showPercent val="1"/>
              <c:showBubbleSize val="0"/>
              <c:separator>
</c:separator>
            </c:dLbl>
            <c:dLbl>
              <c:idx val="8"/>
              <c:layout>
                <c:manualLayout>
                  <c:x val="-5.7471264367816091E-2"/>
                  <c:y val="1.2503452159014012E-2"/>
                </c:manualLayout>
              </c:layout>
              <c:tx>
                <c:rich>
                  <a:bodyPr/>
                  <a:lstStyle/>
                  <a:p>
                    <a:r>
                      <a:rPr lang="ru-RU"/>
                      <a:t>Развитие физ. культуры и спорта
</a:t>
                    </a:r>
                    <a:r>
                      <a:rPr lang="ru-RU" sz="1100" b="1"/>
                      <a:t>0,3%</a:t>
                    </a:r>
                  </a:p>
                </c:rich>
              </c:tx>
              <c:showLegendKey val="0"/>
              <c:showVal val="0"/>
              <c:showCatName val="1"/>
              <c:showSerName val="0"/>
              <c:showPercent val="1"/>
              <c:showBubbleSize val="0"/>
              <c:separator>
</c:separator>
            </c:dLbl>
            <c:dLbl>
              <c:idx val="9"/>
              <c:layout>
                <c:manualLayout>
                  <c:x val="-3.8314176245210726E-3"/>
                  <c:y val="-3.788596069219223E-2"/>
                </c:manualLayout>
              </c:layout>
              <c:tx>
                <c:rich>
                  <a:bodyPr/>
                  <a:lstStyle/>
                  <a:p>
                    <a:r>
                      <a:rPr lang="ru-RU"/>
                      <a:t>Повышение эфф-ти деят-ти органов гос. власти и управления 
</a:t>
                    </a:r>
                    <a:r>
                      <a:rPr lang="ru-RU" sz="1100" b="1"/>
                      <a:t>18,8%</a:t>
                    </a:r>
                  </a:p>
                </c:rich>
              </c:tx>
              <c:showLegendKey val="0"/>
              <c:showVal val="0"/>
              <c:showCatName val="1"/>
              <c:showSerName val="0"/>
              <c:showPercent val="1"/>
              <c:showBubbleSize val="0"/>
              <c:separator>
</c:separator>
            </c:dLbl>
            <c:dLbl>
              <c:idx val="10"/>
              <c:layout>
                <c:manualLayout>
                  <c:x val="-3.2551880478952383E-2"/>
                  <c:y val="-8.9417465350767805E-2"/>
                </c:manualLayout>
              </c:layout>
              <c:tx>
                <c:rich>
                  <a:bodyPr/>
                  <a:lstStyle/>
                  <a:p>
                    <a:r>
                      <a:rPr lang="ru-RU"/>
                      <a:t>Снижение рисков и смягчение последствий ЧС природного и техногенного характера
</a:t>
                    </a:r>
                    <a:r>
                      <a:rPr lang="ru-RU" sz="1100" b="1"/>
                      <a:t>2,4%</a:t>
                    </a:r>
                  </a:p>
                </c:rich>
              </c:tx>
              <c:showLegendKey val="0"/>
              <c:showVal val="0"/>
              <c:showCatName val="1"/>
              <c:showSerName val="0"/>
              <c:showPercent val="1"/>
              <c:showBubbleSize val="0"/>
              <c:separator>
</c:separator>
            </c:dLbl>
            <c:dLbl>
              <c:idx val="11"/>
              <c:layout>
                <c:manualLayout>
                  <c:x val="3.480224454701783E-2"/>
                  <c:y val="-8.6960642360051923E-2"/>
                </c:manualLayout>
              </c:layout>
              <c:tx>
                <c:rich>
                  <a:bodyPr/>
                  <a:lstStyle/>
                  <a:p>
                    <a:r>
                      <a:rPr lang="ru-RU"/>
                      <a:t>Развитие образования 
</a:t>
                    </a:r>
                    <a:r>
                      <a:rPr lang="ru-RU" sz="1100" b="1"/>
                      <a:t>24,0%</a:t>
                    </a:r>
                  </a:p>
                </c:rich>
              </c:tx>
              <c:showLegendKey val="0"/>
              <c:showVal val="0"/>
              <c:showCatName val="1"/>
              <c:showSerName val="0"/>
              <c:showPercent val="1"/>
              <c:showBubbleSize val="0"/>
              <c:separator>
</c:separator>
            </c:dLbl>
            <c:dLbl>
              <c:idx val="12"/>
              <c:layout>
                <c:manualLayout>
                  <c:x val="-9.0259450327329849E-2"/>
                  <c:y val="-0.150475245283757"/>
                </c:manualLayout>
              </c:layout>
              <c:tx>
                <c:rich>
                  <a:bodyPr/>
                  <a:lstStyle/>
                  <a:p>
                    <a:r>
                      <a:rPr lang="ru-RU"/>
                      <a:t>Развитие транспортной системы 
</a:t>
                    </a:r>
                    <a:r>
                      <a:rPr lang="ru-RU" sz="1100" b="1"/>
                      <a:t>6,5%</a:t>
                    </a:r>
                  </a:p>
                </c:rich>
              </c:tx>
              <c:showLegendKey val="0"/>
              <c:showVal val="0"/>
              <c:showCatName val="1"/>
              <c:showSerName val="0"/>
              <c:showPercent val="1"/>
              <c:showBubbleSize val="0"/>
              <c:separator>
</c:separator>
            </c:dLbl>
            <c:numFmt formatCode="0.0%" sourceLinked="0"/>
            <c:txPr>
              <a:bodyPr/>
              <a:lstStyle/>
              <a:p>
                <a:pPr>
                  <a:defRPr sz="1000">
                    <a:latin typeface="Times New Roman" pitchFamily="18" charset="0"/>
                    <a:cs typeface="Times New Roman" pitchFamily="18" charset="0"/>
                  </a:defRPr>
                </a:pPr>
                <a:endParaRPr lang="ru-RU"/>
              </a:p>
            </c:txPr>
            <c:showLegendKey val="0"/>
            <c:showVal val="0"/>
            <c:showCatName val="1"/>
            <c:showSerName val="0"/>
            <c:showPercent val="1"/>
            <c:showBubbleSize val="0"/>
            <c:separator>
</c:separator>
            <c:showLeaderLines val="1"/>
          </c:dLbls>
          <c:cat>
            <c:strRef>
              <c:f>Лист1!$B$2:$B$14</c:f>
              <c:strCache>
                <c:ptCount val="13"/>
                <c:pt idx="0">
                  <c:v>Развитие с/х и регулирование рынков с/х продукции</c:v>
                </c:pt>
                <c:pt idx="1">
                  <c:v>Развитие системы соц. защиты населения</c:v>
                </c:pt>
                <c:pt idx="2">
                  <c:v>Развитие и сохранение культуры и искусства</c:v>
                </c:pt>
                <c:pt idx="3">
                  <c:v>Модернизация ЖКК, энергоснабжение и повышение энергетической эффективности</c:v>
                </c:pt>
                <c:pt idx="4">
                  <c:v>Охрана окружающей среды</c:v>
                </c:pt>
                <c:pt idx="5">
                  <c:v>Развитие здравоохранения</c:v>
                </c:pt>
                <c:pt idx="6">
                  <c:v>Обеспечение доступным и качественным жильем населения</c:v>
                </c:pt>
                <c:pt idx="7">
                  <c:v>Экономическое развитие и инновационная экономика</c:v>
                </c:pt>
                <c:pt idx="8">
                  <c:v>Развитие физ. культуры и спорта</c:v>
                </c:pt>
                <c:pt idx="9">
                  <c:v>Повышение эфф-ти деят-ти органов гос. власти и управления </c:v>
                </c:pt>
                <c:pt idx="10">
                  <c:v>Снижение рисков и смягчение последствий ЧС природного и техногенного характера</c:v>
                </c:pt>
                <c:pt idx="11">
                  <c:v>Развитие образования </c:v>
                </c:pt>
                <c:pt idx="12">
                  <c:v>Развитие транспортной системы </c:v>
                </c:pt>
              </c:strCache>
            </c:strRef>
          </c:cat>
          <c:val>
            <c:numRef>
              <c:f>Лист1!$C$2:$C$14</c:f>
              <c:numCache>
                <c:formatCode>0.0</c:formatCode>
                <c:ptCount val="13"/>
                <c:pt idx="0">
                  <c:v>2.68</c:v>
                </c:pt>
                <c:pt idx="1">
                  <c:v>17.149999999999999</c:v>
                </c:pt>
                <c:pt idx="2">
                  <c:v>0.57999999999999996</c:v>
                </c:pt>
                <c:pt idx="3">
                  <c:v>4.41</c:v>
                </c:pt>
                <c:pt idx="4">
                  <c:v>0.53</c:v>
                </c:pt>
                <c:pt idx="5">
                  <c:v>19.3</c:v>
                </c:pt>
                <c:pt idx="6">
                  <c:v>2.1800000000000002</c:v>
                </c:pt>
                <c:pt idx="7">
                  <c:v>1</c:v>
                </c:pt>
                <c:pt idx="8">
                  <c:v>0.32</c:v>
                </c:pt>
                <c:pt idx="9">
                  <c:v>18.84</c:v>
                </c:pt>
                <c:pt idx="10">
                  <c:v>2.4300000000000002</c:v>
                </c:pt>
                <c:pt idx="11">
                  <c:v>24.01</c:v>
                </c:pt>
                <c:pt idx="12">
                  <c:v>6.54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320"/>
      <c:rAngAx val="0"/>
      <c:perspective val="50"/>
    </c:view3D>
    <c:floor>
      <c:thickness val="0"/>
    </c:floor>
    <c:sideWall>
      <c:thickness val="0"/>
    </c:sideWall>
    <c:backWall>
      <c:thickness val="0"/>
    </c:backWall>
    <c:plotArea>
      <c:layout>
        <c:manualLayout>
          <c:layoutTarget val="inner"/>
          <c:xMode val="edge"/>
          <c:yMode val="edge"/>
          <c:x val="0.18168813010523216"/>
          <c:y val="0.18697319769335402"/>
          <c:w val="0.68331706200276365"/>
          <c:h val="0.81302681992337167"/>
        </c:manualLayout>
      </c:layout>
      <c:pie3DChart>
        <c:varyColors val="1"/>
        <c:ser>
          <c:idx val="0"/>
          <c:order val="0"/>
          <c:spPr>
            <a:ln w="25400">
              <a:solidFill>
                <a:srgbClr val="4F81BD">
                  <a:lumMod val="50000"/>
                </a:srgbClr>
              </a:solidFill>
            </a:ln>
            <a:effectLst>
              <a:outerShdw blurRad="50800" dist="38100" dir="5400000" algn="t" rotWithShape="0">
                <a:prstClr val="black">
                  <a:alpha val="40000"/>
                </a:prstClr>
              </a:outerShdw>
            </a:effectLst>
          </c:spPr>
          <c:explosion val="25"/>
          <c:dPt>
            <c:idx val="3"/>
            <c:bubble3D val="0"/>
            <c:spPr>
              <a:solidFill>
                <a:srgbClr val="FFFF00"/>
              </a:solidFill>
              <a:ln w="25400">
                <a:solidFill>
                  <a:srgbClr val="4F81BD">
                    <a:lumMod val="50000"/>
                  </a:srgbClr>
                </a:solidFill>
              </a:ln>
              <a:effectLst>
                <a:outerShdw blurRad="50800" dist="38100" dir="5400000" algn="t" rotWithShape="0">
                  <a:prstClr val="black">
                    <a:alpha val="40000"/>
                  </a:prstClr>
                </a:outerShdw>
              </a:effectLst>
            </c:spPr>
          </c:dPt>
          <c:dPt>
            <c:idx val="4"/>
            <c:bubble3D val="0"/>
            <c:spPr>
              <a:solidFill>
                <a:srgbClr val="00B0F0"/>
              </a:solidFill>
              <a:ln w="25400">
                <a:solidFill>
                  <a:srgbClr val="4F81BD">
                    <a:lumMod val="50000"/>
                  </a:srgbClr>
                </a:solidFill>
              </a:ln>
              <a:effectLst>
                <a:outerShdw blurRad="50800" dist="38100" dir="5400000" algn="t" rotWithShape="0">
                  <a:prstClr val="black">
                    <a:alpha val="40000"/>
                  </a:prstClr>
                </a:outerShdw>
              </a:effectLst>
            </c:spPr>
          </c:dPt>
          <c:dPt>
            <c:idx val="6"/>
            <c:bubble3D val="0"/>
            <c:spPr>
              <a:solidFill>
                <a:srgbClr val="7030A0"/>
              </a:solidFill>
              <a:ln w="25400">
                <a:solidFill>
                  <a:srgbClr val="4F81BD">
                    <a:lumMod val="50000"/>
                  </a:srgbClr>
                </a:solidFill>
              </a:ln>
              <a:effectLst>
                <a:outerShdw blurRad="50800" dist="38100" dir="5400000" algn="t" rotWithShape="0">
                  <a:prstClr val="black">
                    <a:alpha val="40000"/>
                  </a:prstClr>
                </a:outerShdw>
              </a:effectLst>
            </c:spPr>
          </c:dPt>
          <c:dPt>
            <c:idx val="7"/>
            <c:bubble3D val="0"/>
            <c:spPr>
              <a:solidFill>
                <a:srgbClr val="FF33CC"/>
              </a:solidFill>
              <a:ln w="25400">
                <a:solidFill>
                  <a:srgbClr val="4F81BD">
                    <a:lumMod val="50000"/>
                  </a:srgbClr>
                </a:solidFill>
              </a:ln>
              <a:effectLst>
                <a:outerShdw blurRad="50800" dist="38100" dir="5400000" algn="t" rotWithShape="0">
                  <a:prstClr val="black">
                    <a:alpha val="40000"/>
                  </a:prstClr>
                </a:outerShdw>
              </a:effectLst>
            </c:spPr>
          </c:dPt>
          <c:dLbls>
            <c:dLbl>
              <c:idx val="0"/>
              <c:layout>
                <c:manualLayout>
                  <c:x val="-5.2949689700002075E-3"/>
                  <c:y val="0"/>
                </c:manualLayout>
              </c:layout>
              <c:showLegendKey val="0"/>
              <c:showVal val="0"/>
              <c:showCatName val="1"/>
              <c:showSerName val="0"/>
              <c:showPercent val="1"/>
              <c:showBubbleSize val="0"/>
            </c:dLbl>
            <c:dLbl>
              <c:idx val="1"/>
              <c:layout>
                <c:manualLayout>
                  <c:x val="8.4144528662889101E-2"/>
                  <c:y val="-6.7564244124656836E-2"/>
                </c:manualLayout>
              </c:layout>
              <c:showLegendKey val="0"/>
              <c:showVal val="0"/>
              <c:showCatName val="1"/>
              <c:showSerName val="0"/>
              <c:showPercent val="1"/>
              <c:showBubbleSize val="0"/>
            </c:dLbl>
            <c:dLbl>
              <c:idx val="2"/>
              <c:layout>
                <c:manualLayout>
                  <c:x val="6.6263562849036395E-2"/>
                  <c:y val="-8.3919315099540131E-3"/>
                </c:manualLayout>
              </c:layout>
              <c:showLegendKey val="0"/>
              <c:showVal val="0"/>
              <c:showCatName val="1"/>
              <c:showSerName val="0"/>
              <c:showPercent val="1"/>
              <c:showBubbleSize val="0"/>
            </c:dLbl>
            <c:dLbl>
              <c:idx val="3"/>
              <c:layout>
                <c:manualLayout>
                  <c:x val="7.0793370454861365E-2"/>
                  <c:y val="0.17287532489095797"/>
                </c:manualLayout>
              </c:layout>
              <c:showLegendKey val="0"/>
              <c:showVal val="0"/>
              <c:showCatName val="1"/>
              <c:showSerName val="0"/>
              <c:showPercent val="1"/>
              <c:showBubbleSize val="0"/>
            </c:dLbl>
            <c:dLbl>
              <c:idx val="4"/>
              <c:layout>
                <c:manualLayout>
                  <c:x val="7.4243056066589805E-2"/>
                  <c:y val="-6.2317753456305428E-2"/>
                </c:manualLayout>
              </c:layout>
              <c:showLegendKey val="0"/>
              <c:showVal val="0"/>
              <c:showCatName val="1"/>
              <c:showSerName val="0"/>
              <c:showPercent val="1"/>
              <c:showBubbleSize val="0"/>
            </c:dLbl>
            <c:dLbl>
              <c:idx val="5"/>
              <c:layout>
                <c:manualLayout>
                  <c:x val="-2.6998961578400826E-2"/>
                  <c:y val="3.4032883820556914E-2"/>
                </c:manualLayout>
              </c:layout>
              <c:showLegendKey val="0"/>
              <c:showVal val="0"/>
              <c:showCatName val="1"/>
              <c:showSerName val="0"/>
              <c:showPercent val="1"/>
              <c:showBubbleSize val="0"/>
            </c:dLbl>
            <c:dLbl>
              <c:idx val="6"/>
              <c:layout>
                <c:manualLayout>
                  <c:x val="-5.5253840933434724E-2"/>
                  <c:y val="9.4969841861689289E-2"/>
                </c:manualLayout>
              </c:layout>
              <c:showLegendKey val="0"/>
              <c:showVal val="0"/>
              <c:showCatName val="1"/>
              <c:showSerName val="0"/>
              <c:showPercent val="1"/>
              <c:showBubbleSize val="0"/>
            </c:dLbl>
            <c:dLbl>
              <c:idx val="7"/>
              <c:layout>
                <c:manualLayout>
                  <c:x val="-0.11566741073253693"/>
                  <c:y val="5.1088251851526947E-2"/>
                </c:manualLayout>
              </c:layout>
              <c:showLegendKey val="0"/>
              <c:showVal val="0"/>
              <c:showCatName val="1"/>
              <c:showSerName val="0"/>
              <c:showPercent val="1"/>
              <c:showBubbleSize val="0"/>
            </c:dLbl>
            <c:numFmt formatCode="0.0%" sourceLinked="0"/>
            <c:spPr>
              <a:solidFill>
                <a:srgbClr val="9BBB59">
                  <a:lumMod val="40000"/>
                  <a:lumOff val="60000"/>
                </a:srgbClr>
              </a:solidFill>
              <a:ln w="12700">
                <a:solidFill>
                  <a:srgbClr val="4F81BD">
                    <a:lumMod val="50000"/>
                  </a:srgbClr>
                </a:solidFill>
              </a:ln>
              <a:effectLst>
                <a:outerShdw blurRad="50800" dist="38100" dir="2700000" algn="tl" rotWithShape="0">
                  <a:prstClr val="black">
                    <a:alpha val="40000"/>
                  </a:prstClr>
                </a:outerShdw>
              </a:effectLst>
            </c:spPr>
            <c:txPr>
              <a:bodyPr/>
              <a:lstStyle/>
              <a:p>
                <a:pPr>
                  <a:defRPr sz="8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Лист1!$A$2:$A$9</c:f>
              <c:strCache>
                <c:ptCount val="8"/>
                <c:pt idx="0">
                  <c:v>Расходы на выплаты персоналу в целях обеспечения выполнения функций государственными органами</c:v>
                </c:pt>
                <c:pt idx="1">
                  <c:v>Закупка товаров, работ и услуг для государственных нужд</c:v>
                </c:pt>
                <c:pt idx="2">
                  <c:v>Социальное обеспечение и иные выплаты населению</c:v>
                </c:pt>
                <c:pt idx="3">
                  <c:v>Капитальные вложения в объекты недвижимого имущества государственной (муниципальной) собственности</c:v>
                </c:pt>
                <c:pt idx="4">
                  <c:v>Межбюджетные трансферты</c:v>
                </c:pt>
                <c:pt idx="5">
                  <c:v>Предоставление субсидий бюджетным, автономным учреждениям и иным некоммерческим организациям</c:v>
                </c:pt>
                <c:pt idx="6">
                  <c:v>Обслуживание государственного долга</c:v>
                </c:pt>
                <c:pt idx="7">
                  <c:v>Иные бюджетные ассигнования</c:v>
                </c:pt>
              </c:strCache>
            </c:strRef>
          </c:cat>
          <c:val>
            <c:numRef>
              <c:f>Лист1!$B$2:$B$9</c:f>
              <c:numCache>
                <c:formatCode>#,##0.0</c:formatCode>
                <c:ptCount val="8"/>
                <c:pt idx="0">
                  <c:v>2601.4</c:v>
                </c:pt>
                <c:pt idx="1">
                  <c:v>1672.1</c:v>
                </c:pt>
                <c:pt idx="2" formatCode="General">
                  <c:v>3738.3</c:v>
                </c:pt>
                <c:pt idx="3" formatCode="General">
                  <c:v>779.1</c:v>
                </c:pt>
                <c:pt idx="4" formatCode="General">
                  <c:v>17206.900000000001</c:v>
                </c:pt>
                <c:pt idx="5" formatCode="General">
                  <c:v>6036.4</c:v>
                </c:pt>
                <c:pt idx="6" formatCode="0.0">
                  <c:v>2113.9</c:v>
                </c:pt>
                <c:pt idx="7">
                  <c:v>1700.4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0"/>
      <c:rAngAx val="1"/>
    </c:view3D>
    <c:floor>
      <c:thickness val="0"/>
    </c:floor>
    <c:sideWall>
      <c:thickness val="0"/>
    </c:sideWall>
    <c:backWall>
      <c:thickness val="0"/>
    </c:backWall>
    <c:plotArea>
      <c:layout>
        <c:manualLayout>
          <c:layoutTarget val="inner"/>
          <c:xMode val="edge"/>
          <c:yMode val="edge"/>
          <c:x val="0"/>
          <c:y val="0"/>
          <c:w val="0.71750220782899909"/>
          <c:h val="0.96928799930543019"/>
        </c:manualLayout>
      </c:layout>
      <c:pie3DChart>
        <c:varyColors val="1"/>
        <c:ser>
          <c:idx val="0"/>
          <c:order val="0"/>
          <c:tx>
            <c:strRef>
              <c:f>Лист1!$B$1</c:f>
              <c:strCache>
                <c:ptCount val="1"/>
                <c:pt idx="0">
                  <c:v>млн. руб.</c:v>
                </c:pt>
              </c:strCache>
            </c:strRef>
          </c:tx>
          <c:spPr>
            <a:solidFill>
              <a:srgbClr val="7030A0"/>
            </a:solidFill>
            <a:ln w="19050">
              <a:solidFill>
                <a:schemeClr val="tx1"/>
              </a:solidFill>
            </a:ln>
            <a:effectLst>
              <a:innerShdw blurRad="63500" dist="50800" dir="10800000">
                <a:prstClr val="black">
                  <a:alpha val="50000"/>
                </a:prstClr>
              </a:innerShdw>
            </a:effectLst>
            <a:scene3d>
              <a:camera prst="orthographicFront"/>
              <a:lightRig rig="threePt" dir="t"/>
            </a:scene3d>
            <a:sp3d>
              <a:bevelT w="114300" prst="artDeco"/>
              <a:contourClr>
                <a:srgbClr val="000000"/>
              </a:contourClr>
            </a:sp3d>
          </c:spPr>
          <c:explosion val="20"/>
          <c:dPt>
            <c:idx val="0"/>
            <c:bubble3D val="0"/>
            <c:spPr>
              <a:solidFill>
                <a:srgbClr val="FF2D2D"/>
              </a:solidFill>
              <a:ln w="19050">
                <a:solidFill>
                  <a:schemeClr val="tx1"/>
                </a:solidFill>
              </a:ln>
              <a:effectLst>
                <a:outerShdw blurRad="50800" dist="38100" dir="2700000" algn="tl" rotWithShape="0">
                  <a:prstClr val="black">
                    <a:alpha val="40000"/>
                  </a:prstClr>
                </a:outerShdw>
              </a:effectLst>
              <a:scene3d>
                <a:camera prst="orthographicFront"/>
                <a:lightRig rig="threePt" dir="t"/>
              </a:scene3d>
              <a:sp3d>
                <a:bevelT w="114300" prst="artDeco"/>
                <a:contourClr>
                  <a:srgbClr val="000000"/>
                </a:contourClr>
              </a:sp3d>
            </c:spPr>
          </c:dPt>
          <c:dPt>
            <c:idx val="1"/>
            <c:bubble3D val="0"/>
            <c:explosion val="0"/>
            <c:spPr>
              <a:solidFill>
                <a:srgbClr val="00E668"/>
              </a:solidFill>
              <a:ln w="19050">
                <a:solidFill>
                  <a:schemeClr val="tx1"/>
                </a:solidFill>
              </a:ln>
              <a:effectLst>
                <a:outerShdw blurRad="50800" dist="38100" algn="l" rotWithShape="0">
                  <a:prstClr val="black">
                    <a:alpha val="40000"/>
                  </a:prstClr>
                </a:outerShdw>
              </a:effectLst>
              <a:scene3d>
                <a:camera prst="orthographicFront"/>
                <a:lightRig rig="threePt" dir="t"/>
              </a:scene3d>
              <a:sp3d>
                <a:bevelT w="114300" prst="artDeco"/>
                <a:contourClr>
                  <a:srgbClr val="000000"/>
                </a:contourClr>
              </a:sp3d>
            </c:spPr>
          </c:dPt>
          <c:dPt>
            <c:idx val="2"/>
            <c:bubble3D val="0"/>
            <c:explosion val="41"/>
            <c:spPr>
              <a:solidFill>
                <a:srgbClr val="9148C8"/>
              </a:solidFill>
              <a:ln w="19050">
                <a:solidFill>
                  <a:schemeClr val="tx1">
                    <a:lumMod val="75000"/>
                    <a:lumOff val="25000"/>
                  </a:schemeClr>
                </a:solidFill>
              </a:ln>
              <a:effectLst>
                <a:outerShdw blurRad="50800" dist="38100" algn="l" rotWithShape="0">
                  <a:prstClr val="black">
                    <a:alpha val="40000"/>
                  </a:prstClr>
                </a:outerShdw>
              </a:effectLst>
              <a:scene3d>
                <a:camera prst="orthographicFront"/>
                <a:lightRig rig="threePt" dir="t"/>
              </a:scene3d>
              <a:sp3d>
                <a:bevelT w="114300" prst="artDeco"/>
                <a:contourClr>
                  <a:srgbClr val="000000"/>
                </a:contourClr>
              </a:sp3d>
            </c:spPr>
          </c:dPt>
          <c:dLbls>
            <c:dLbl>
              <c:idx val="0"/>
              <c:layout>
                <c:manualLayout>
                  <c:x val="0"/>
                  <c:y val="0.512280701754386"/>
                </c:manualLayout>
              </c:layout>
              <c:dLblPos val="bestFit"/>
              <c:showLegendKey val="1"/>
              <c:showVal val="0"/>
              <c:showCatName val="1"/>
              <c:showSerName val="0"/>
              <c:showPercent val="1"/>
              <c:showBubbleSize val="0"/>
              <c:separator>; </c:separator>
            </c:dLbl>
            <c:dLbl>
              <c:idx val="1"/>
              <c:layout>
                <c:manualLayout>
                  <c:x val="0.4252136752136752"/>
                  <c:y val="0"/>
                </c:manualLayout>
              </c:layout>
              <c:dLblPos val="bestFit"/>
              <c:showLegendKey val="1"/>
              <c:showVal val="0"/>
              <c:showCatName val="1"/>
              <c:showSerName val="0"/>
              <c:showPercent val="1"/>
              <c:showBubbleSize val="0"/>
              <c:separator>; </c:separator>
            </c:dLbl>
            <c:dLbl>
              <c:idx val="2"/>
              <c:layout>
                <c:manualLayout>
                  <c:x val="0.21367528417579551"/>
                  <c:y val="-2.8070175438596492E-2"/>
                </c:manualLayout>
              </c:layout>
              <c:dLblPos val="bestFit"/>
              <c:showLegendKey val="1"/>
              <c:showVal val="0"/>
              <c:showCatName val="1"/>
              <c:showSerName val="0"/>
              <c:showPercent val="1"/>
              <c:showBubbleSize val="0"/>
              <c:separator>; </c:separator>
            </c:dLbl>
            <c:numFmt formatCode="0.00%" sourceLinked="0"/>
            <c:spPr>
              <a:ln w="22225">
                <a:noFill/>
              </a:ln>
            </c:spPr>
            <c:txPr>
              <a:bodyPr/>
              <a:lstStyle/>
              <a:p>
                <a:pPr>
                  <a:defRPr sz="1000" b="1" baseline="0">
                    <a:latin typeface="Times New Roman" pitchFamily="18" charset="0"/>
                  </a:defRPr>
                </a:pPr>
                <a:endParaRPr lang="ru-RU"/>
              </a:p>
            </c:txPr>
            <c:dLblPos val="outEnd"/>
            <c:showLegendKey val="1"/>
            <c:showVal val="0"/>
            <c:showCatName val="1"/>
            <c:showSerName val="0"/>
            <c:showPercent val="1"/>
            <c:showBubbleSize val="0"/>
            <c:separator>; </c:separator>
            <c:showLeaderLines val="1"/>
            <c:leaderLines>
              <c:spPr>
                <a:ln w="15875"/>
              </c:spPr>
            </c:leaderLines>
          </c:dLbls>
          <c:cat>
            <c:strRef>
              <c:f>Лист1!$A$2:$A$4</c:f>
              <c:strCache>
                <c:ptCount val="3"/>
                <c:pt idx="0">
                  <c:v>Бюджетные ассигнования на капитальные вложения в объекты муниципальной собственности</c:v>
                </c:pt>
                <c:pt idx="1">
                  <c:v>Бюджетные ассигнования на капитальные вложения в объекты государственной собственности</c:v>
                </c:pt>
                <c:pt idx="2">
                  <c:v>Бюджетные ассигнования на капвложения в объекты госсобственности в части развития сети автомобильных дорог общего пользования</c:v>
                </c:pt>
              </c:strCache>
            </c:strRef>
          </c:cat>
          <c:val>
            <c:numRef>
              <c:f>Лист1!$B$2:$B$4</c:f>
              <c:numCache>
                <c:formatCode>0.0</c:formatCode>
                <c:ptCount val="3"/>
                <c:pt idx="0">
                  <c:v>20</c:v>
                </c:pt>
                <c:pt idx="1">
                  <c:v>173.3</c:v>
                </c:pt>
                <c:pt idx="2">
                  <c:v>446.3</c:v>
                </c:pt>
              </c:numCache>
            </c:numRef>
          </c:val>
        </c:ser>
        <c:dLbls>
          <c:showLegendKey val="0"/>
          <c:showVal val="1"/>
          <c:showCatName val="0"/>
          <c:showSerName val="0"/>
          <c:showPercent val="0"/>
          <c:showBubbleSize val="0"/>
          <c:showLeaderLines val="1"/>
        </c:dLbls>
      </c:pie3DChart>
      <c:spPr>
        <a:ln>
          <a:noFill/>
        </a:ln>
      </c:spPr>
    </c:plotArea>
    <c:plotVisOnly val="1"/>
    <c:dispBlanksAs val="gap"/>
    <c:showDLblsOverMax val="0"/>
  </c:chart>
  <c:spPr>
    <a:ln>
      <a:noFill/>
    </a:ln>
  </c:sp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3314528519300942"/>
          <c:y val="2.1651926940217517E-2"/>
          <c:w val="0.86685471480699061"/>
          <c:h val="0.824414220949654"/>
        </c:manualLayout>
      </c:layout>
      <c:bar3DChart>
        <c:barDir val="col"/>
        <c:grouping val="clustered"/>
        <c:varyColors val="0"/>
        <c:ser>
          <c:idx val="0"/>
          <c:order val="0"/>
          <c:tx>
            <c:strRef>
              <c:f>Лист1!$B$1</c:f>
              <c:strCache>
                <c:ptCount val="1"/>
                <c:pt idx="0">
                  <c:v>Ряд 1</c:v>
                </c:pt>
              </c:strCache>
            </c:strRef>
          </c:tx>
          <c:spPr>
            <a:gradFill flip="none" rotWithShape="1">
              <a:gsLst>
                <a:gs pos="0">
                  <a:srgbClr val="4BACC6">
                    <a:lumMod val="75000"/>
                  </a:srgbClr>
                </a:gs>
                <a:gs pos="94000">
                  <a:srgbClr val="CEDAF0"/>
                </a:gs>
                <a:gs pos="76664">
                  <a:srgbClr val="C5D3EE"/>
                </a:gs>
                <a:gs pos="85000">
                  <a:srgbClr val="C9D6EF"/>
                </a:gs>
                <a:gs pos="38747">
                  <a:srgbClr val="83AFC9"/>
                </a:gs>
                <a:gs pos="47484">
                  <a:srgbClr val="95B9D3"/>
                </a:gs>
                <a:gs pos="59133">
                  <a:srgbClr val="ADC6E1"/>
                </a:gs>
                <a:gs pos="69000">
                  <a:srgbClr val="4F81BD">
                    <a:tint val="44500"/>
                    <a:satMod val="160000"/>
                  </a:srgbClr>
                </a:gs>
                <a:gs pos="100000">
                  <a:srgbClr val="4F81BD">
                    <a:tint val="23500"/>
                    <a:satMod val="160000"/>
                  </a:srgbClr>
                </a:gs>
              </a:gsLst>
              <a:lin ang="8100000" scaled="1"/>
              <a:tileRect/>
            </a:gradFill>
            <a:ln w="19050">
              <a:solidFill>
                <a:sysClr val="windowText" lastClr="000000"/>
              </a:solidFill>
            </a:ln>
            <a:effectLst>
              <a:outerShdw blurRad="50800" dist="38100" algn="l" rotWithShape="0">
                <a:prstClr val="black">
                  <a:alpha val="40000"/>
                </a:prstClr>
              </a:outerShdw>
            </a:effectLst>
            <a:scene3d>
              <a:camera prst="orthographicFront"/>
              <a:lightRig rig="threePt" dir="t"/>
            </a:scene3d>
            <a:sp3d prstMaterial="metal"/>
          </c:spPr>
          <c:invertIfNegative val="0"/>
          <c:dPt>
            <c:idx val="1"/>
            <c:invertIfNegative val="0"/>
            <c:bubble3D val="0"/>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100000" b="100000"/>
                </a:path>
                <a:tileRect t="-100000" r="-100000"/>
              </a:gradFill>
              <a:ln w="19050">
                <a:solidFill>
                  <a:sysClr val="windowText" lastClr="000000"/>
                </a:solidFill>
              </a:ln>
              <a:effectLst>
                <a:outerShdw blurRad="50800" dist="38100" algn="l" rotWithShape="0">
                  <a:prstClr val="black">
                    <a:alpha val="40000"/>
                  </a:prstClr>
                </a:outerShdw>
              </a:effectLst>
              <a:scene3d>
                <a:camera prst="orthographicFront"/>
                <a:lightRig rig="threePt" dir="t"/>
              </a:scene3d>
              <a:sp3d prstMaterial="metal"/>
            </c:spPr>
          </c:dPt>
          <c:dPt>
            <c:idx val="2"/>
            <c:invertIfNegative val="0"/>
            <c:bubble3D val="0"/>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100000" b="100000"/>
                </a:path>
                <a:tileRect t="-100000" r="-100000"/>
              </a:gradFill>
              <a:ln w="19050">
                <a:solidFill>
                  <a:sysClr val="windowText" lastClr="000000"/>
                </a:solidFill>
              </a:ln>
              <a:effectLst>
                <a:outerShdw blurRad="50800" dist="38100" algn="l" rotWithShape="0">
                  <a:prstClr val="black">
                    <a:alpha val="40000"/>
                  </a:prstClr>
                </a:outerShdw>
              </a:effectLst>
              <a:scene3d>
                <a:camera prst="orthographicFront"/>
                <a:lightRig rig="threePt" dir="t"/>
              </a:scene3d>
              <a:sp3d prstMaterial="metal"/>
            </c:spPr>
          </c:dPt>
          <c:dPt>
            <c:idx val="3"/>
            <c:invertIfNegative val="0"/>
            <c:bubble3D val="0"/>
            <c:spPr>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path path="circle">
                  <a:fillToRect l="100000" b="100000"/>
                </a:path>
                <a:tileRect t="-100000" r="-100000"/>
              </a:gradFill>
              <a:ln w="19050">
                <a:solidFill>
                  <a:sysClr val="windowText" lastClr="000000"/>
                </a:solidFill>
              </a:ln>
              <a:effectLst>
                <a:outerShdw blurRad="50800" dist="38100" algn="l" rotWithShape="0">
                  <a:prstClr val="black">
                    <a:alpha val="40000"/>
                  </a:prstClr>
                </a:outerShdw>
              </a:effectLst>
              <a:scene3d>
                <a:camera prst="orthographicFront"/>
                <a:lightRig rig="threePt" dir="t"/>
              </a:scene3d>
              <a:sp3d prstMaterial="metal"/>
            </c:spPr>
          </c:dPt>
          <c:dLbls>
            <c:dLbl>
              <c:idx val="0"/>
              <c:layout>
                <c:manualLayout>
                  <c:x val="2.0833333333333332E-2"/>
                  <c:y val="-2.3809523809523808E-2"/>
                </c:manualLayout>
              </c:layout>
              <c:showLegendKey val="0"/>
              <c:showVal val="1"/>
              <c:showCatName val="0"/>
              <c:showSerName val="0"/>
              <c:showPercent val="0"/>
              <c:showBubbleSize val="0"/>
            </c:dLbl>
            <c:dLbl>
              <c:idx val="1"/>
              <c:layout>
                <c:manualLayout>
                  <c:x val="2.3148148148148147E-2"/>
                  <c:y val="-1.984126984126984E-2"/>
                </c:manualLayout>
              </c:layout>
              <c:showLegendKey val="0"/>
              <c:showVal val="1"/>
              <c:showCatName val="0"/>
              <c:showSerName val="0"/>
              <c:showPercent val="0"/>
              <c:showBubbleSize val="0"/>
            </c:dLbl>
            <c:dLbl>
              <c:idx val="2"/>
              <c:layout>
                <c:manualLayout>
                  <c:x val="2.5462962962962962E-2"/>
                  <c:y val="-3.1746031746031744E-2"/>
                </c:manualLayout>
              </c:layout>
              <c:showLegendKey val="0"/>
              <c:showVal val="1"/>
              <c:showCatName val="0"/>
              <c:showSerName val="0"/>
              <c:showPercent val="0"/>
              <c:showBubbleSize val="0"/>
            </c:dLbl>
            <c:dLbl>
              <c:idx val="3"/>
              <c:layout>
                <c:manualLayout>
                  <c:x val="8.4875562720133283E-17"/>
                  <c:y val="-3.1746031746031744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6445793.2999999998</c:v>
                </c:pt>
                <c:pt idx="1">
                  <c:v>2345504</c:v>
                </c:pt>
                <c:pt idx="2">
                  <c:v>2275048</c:v>
                </c:pt>
                <c:pt idx="3">
                  <c:v>2250311.9</c:v>
                </c:pt>
              </c:numCache>
            </c:numRef>
          </c:val>
        </c:ser>
        <c:dLbls>
          <c:showLegendKey val="0"/>
          <c:showVal val="0"/>
          <c:showCatName val="0"/>
          <c:showSerName val="0"/>
          <c:showPercent val="0"/>
          <c:showBubbleSize val="0"/>
        </c:dLbls>
        <c:gapWidth val="150"/>
        <c:shape val="cylinder"/>
        <c:axId val="176106112"/>
        <c:axId val="176112000"/>
        <c:axId val="0"/>
      </c:bar3DChart>
      <c:catAx>
        <c:axId val="176106112"/>
        <c:scaling>
          <c:orientation val="minMax"/>
        </c:scaling>
        <c:delete val="0"/>
        <c:axPos val="b"/>
        <c:numFmt formatCode="General" sourceLinked="1"/>
        <c:majorTickMark val="out"/>
        <c:minorTickMark val="none"/>
        <c:tickLblPos val="nextTo"/>
        <c:txPr>
          <a:bodyPr/>
          <a:lstStyle/>
          <a:p>
            <a:pPr>
              <a:defRPr sz="1200" b="1"/>
            </a:pPr>
            <a:endParaRPr lang="ru-RU"/>
          </a:p>
        </c:txPr>
        <c:crossAx val="176112000"/>
        <c:crosses val="autoZero"/>
        <c:auto val="1"/>
        <c:lblAlgn val="ctr"/>
        <c:lblOffset val="100"/>
        <c:noMultiLvlLbl val="0"/>
      </c:catAx>
      <c:valAx>
        <c:axId val="176112000"/>
        <c:scaling>
          <c:orientation val="minMax"/>
        </c:scaling>
        <c:delete val="0"/>
        <c:axPos val="l"/>
        <c:majorGridlines>
          <c:spPr>
            <a:ln>
              <a:solidFill>
                <a:schemeClr val="bg2"/>
              </a:solidFill>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тыс. рублей</a:t>
                </a:r>
              </a:p>
            </c:rich>
          </c:tx>
          <c:layout>
            <c:manualLayout>
              <c:xMode val="edge"/>
              <c:yMode val="edge"/>
              <c:x val="2.616806858187095E-2"/>
              <c:y val="0.41053865245696253"/>
            </c:manualLayout>
          </c:layout>
          <c:overlay val="0"/>
        </c:title>
        <c:numFmt formatCode="General" sourceLinked="1"/>
        <c:majorTickMark val="out"/>
        <c:minorTickMark val="none"/>
        <c:tickLblPos val="nextTo"/>
        <c:txPr>
          <a:bodyPr/>
          <a:lstStyle/>
          <a:p>
            <a:pPr>
              <a:defRPr b="1"/>
            </a:pPr>
            <a:endParaRPr lang="ru-RU"/>
          </a:p>
        </c:txPr>
        <c:crossAx val="176106112"/>
        <c:crosses val="autoZero"/>
        <c:crossBetween val="between"/>
      </c:valAx>
      <c:spPr>
        <a:noFill/>
        <a:ln w="2539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2862140251486"/>
          <c:y val="7.3320555325321168E-2"/>
          <c:w val="0.53536977491961357"/>
          <c:h val="0.73483198403016514"/>
        </c:manualLayout>
      </c:layout>
      <c:barChart>
        <c:barDir val="col"/>
        <c:grouping val="percentStacked"/>
        <c:varyColors val="0"/>
        <c:ser>
          <c:idx val="0"/>
          <c:order val="0"/>
          <c:tx>
            <c:strRef>
              <c:f>Sheet1!$A$2</c:f>
              <c:strCache>
                <c:ptCount val="1"/>
                <c:pt idx="0">
                  <c:v>Покупка товаров и оплата услуг</c:v>
                </c:pt>
              </c:strCache>
            </c:strRef>
          </c:tx>
          <c:invertIfNegative val="0"/>
          <c:dLbls>
            <c:numFmt formatCode="#,##0.00" sourceLinked="0"/>
            <c:txPr>
              <a:bodyPr/>
              <a:lstStyle/>
              <a:p>
                <a:pPr>
                  <a:defRPr b="1"/>
                </a:pPr>
                <a:endParaRPr lang="ru-RU"/>
              </a:p>
            </c:txPr>
            <c:showLegendKey val="0"/>
            <c:showVal val="1"/>
            <c:showCatName val="0"/>
            <c:showSerName val="0"/>
            <c:showPercent val="0"/>
            <c:showBubbleSize val="0"/>
            <c:showLeaderLines val="0"/>
          </c:dLbls>
          <c:cat>
            <c:strRef>
              <c:f>Sheet1!$B$1:$E$1</c:f>
              <c:strCache>
                <c:ptCount val="4"/>
                <c:pt idx="0">
                  <c:v>2014 год (оценка)</c:v>
                </c:pt>
                <c:pt idx="1">
                  <c:v>2015 год (прогноз)</c:v>
                </c:pt>
                <c:pt idx="2">
                  <c:v>2016 год (прогноз)</c:v>
                </c:pt>
                <c:pt idx="3">
                  <c:v>2017 год (прогноз)</c:v>
                </c:pt>
              </c:strCache>
            </c:strRef>
          </c:cat>
          <c:val>
            <c:numRef>
              <c:f>Sheet1!$B$2:$E$2</c:f>
              <c:numCache>
                <c:formatCode>General</c:formatCode>
                <c:ptCount val="4"/>
                <c:pt idx="0">
                  <c:v>71.37772973652504</c:v>
                </c:pt>
                <c:pt idx="1">
                  <c:v>71.837138731405602</c:v>
                </c:pt>
                <c:pt idx="2">
                  <c:v>72.379043334839537</c:v>
                </c:pt>
                <c:pt idx="3">
                  <c:v>72.813151343058294</c:v>
                </c:pt>
              </c:numCache>
            </c:numRef>
          </c:val>
        </c:ser>
        <c:ser>
          <c:idx val="1"/>
          <c:order val="1"/>
          <c:tx>
            <c:strRef>
              <c:f>Sheet1!$A$3</c:f>
              <c:strCache>
                <c:ptCount val="1"/>
                <c:pt idx="0">
                  <c:v>Оплата обязательных платежей и взносов</c:v>
                </c:pt>
              </c:strCache>
            </c:strRef>
          </c:tx>
          <c:invertIfNegative val="0"/>
          <c:dLbls>
            <c:numFmt formatCode="#,##0.00" sourceLinked="0"/>
            <c:txPr>
              <a:bodyPr/>
              <a:lstStyle/>
              <a:p>
                <a:pPr>
                  <a:defRPr b="1"/>
                </a:pPr>
                <a:endParaRPr lang="ru-RU"/>
              </a:p>
            </c:txPr>
            <c:showLegendKey val="0"/>
            <c:showVal val="1"/>
            <c:showCatName val="0"/>
            <c:showSerName val="0"/>
            <c:showPercent val="0"/>
            <c:showBubbleSize val="0"/>
            <c:showLeaderLines val="0"/>
          </c:dLbls>
          <c:cat>
            <c:strRef>
              <c:f>Sheet1!$B$1:$E$1</c:f>
              <c:strCache>
                <c:ptCount val="4"/>
                <c:pt idx="0">
                  <c:v>2014 год (оценка)</c:v>
                </c:pt>
                <c:pt idx="1">
                  <c:v>2015 год (прогноз)</c:v>
                </c:pt>
                <c:pt idx="2">
                  <c:v>2016 год (прогноз)</c:v>
                </c:pt>
                <c:pt idx="3">
                  <c:v>2017 год (прогноз)</c:v>
                </c:pt>
              </c:strCache>
            </c:strRef>
          </c:cat>
          <c:val>
            <c:numRef>
              <c:f>Sheet1!$B$3:$E$3</c:f>
              <c:numCache>
                <c:formatCode>0.0</c:formatCode>
                <c:ptCount val="4"/>
                <c:pt idx="0">
                  <c:v>12.747993483238897</c:v>
                </c:pt>
                <c:pt idx="1">
                  <c:v>12.597521347196933</c:v>
                </c:pt>
                <c:pt idx="2" formatCode="General">
                  <c:v>12.37208042885222</c:v>
                </c:pt>
                <c:pt idx="3" formatCode="General">
                  <c:v>12.235742594783929</c:v>
                </c:pt>
              </c:numCache>
            </c:numRef>
          </c:val>
        </c:ser>
        <c:ser>
          <c:idx val="2"/>
          <c:order val="2"/>
          <c:tx>
            <c:strRef>
              <c:f>Sheet1!$A$4</c:f>
              <c:strCache>
                <c:ptCount val="1"/>
                <c:pt idx="0">
                  <c:v>Другие расходы</c:v>
                </c:pt>
              </c:strCache>
            </c:strRef>
          </c:tx>
          <c:invertIfNegative val="0"/>
          <c:dLbls>
            <c:numFmt formatCode="#,##0.00" sourceLinked="0"/>
            <c:txPr>
              <a:bodyPr/>
              <a:lstStyle/>
              <a:p>
                <a:pPr>
                  <a:defRPr b="1"/>
                </a:pPr>
                <a:endParaRPr lang="ru-RU"/>
              </a:p>
            </c:txPr>
            <c:showLegendKey val="0"/>
            <c:showVal val="1"/>
            <c:showCatName val="0"/>
            <c:showSerName val="0"/>
            <c:showPercent val="0"/>
            <c:showBubbleSize val="0"/>
            <c:showLeaderLines val="0"/>
          </c:dLbls>
          <c:cat>
            <c:strRef>
              <c:f>Sheet1!$B$1:$E$1</c:f>
              <c:strCache>
                <c:ptCount val="4"/>
                <c:pt idx="0">
                  <c:v>2014 год (оценка)</c:v>
                </c:pt>
                <c:pt idx="1">
                  <c:v>2015 год (прогноз)</c:v>
                </c:pt>
                <c:pt idx="2">
                  <c:v>2016 год (прогноз)</c:v>
                </c:pt>
                <c:pt idx="3">
                  <c:v>2017 год (прогноз)</c:v>
                </c:pt>
              </c:strCache>
            </c:strRef>
          </c:cat>
          <c:val>
            <c:numRef>
              <c:f>Sheet1!$B$4:$E$4</c:f>
              <c:numCache>
                <c:formatCode>0.0</c:formatCode>
                <c:ptCount val="4"/>
                <c:pt idx="0">
                  <c:v>15.87427678023607</c:v>
                </c:pt>
                <c:pt idx="1">
                  <c:v>15.565339921397459</c:v>
                </c:pt>
                <c:pt idx="2" formatCode="General">
                  <c:v>15.248876236308249</c:v>
                </c:pt>
                <c:pt idx="3" formatCode="General">
                  <c:v>14.951106062157788</c:v>
                </c:pt>
              </c:numCache>
            </c:numRef>
          </c:val>
        </c:ser>
        <c:dLbls>
          <c:showLegendKey val="0"/>
          <c:showVal val="1"/>
          <c:showCatName val="0"/>
          <c:showSerName val="0"/>
          <c:showPercent val="0"/>
          <c:showBubbleSize val="0"/>
        </c:dLbls>
        <c:gapWidth val="78"/>
        <c:overlap val="100"/>
        <c:axId val="114275840"/>
        <c:axId val="114277376"/>
      </c:barChart>
      <c:catAx>
        <c:axId val="114275840"/>
        <c:scaling>
          <c:orientation val="minMax"/>
        </c:scaling>
        <c:delete val="0"/>
        <c:axPos val="b"/>
        <c:numFmt formatCode="General" sourceLinked="1"/>
        <c:majorTickMark val="out"/>
        <c:minorTickMark val="none"/>
        <c:tickLblPos val="nextTo"/>
        <c:txPr>
          <a:bodyPr rot="0" vert="horz" anchor="ctr" anchorCtr="0"/>
          <a:lstStyle/>
          <a:p>
            <a:pPr>
              <a:defRPr sz="1000"/>
            </a:pPr>
            <a:endParaRPr lang="ru-RU"/>
          </a:p>
        </c:txPr>
        <c:crossAx val="114277376"/>
        <c:crosses val="autoZero"/>
        <c:auto val="1"/>
        <c:lblAlgn val="ctr"/>
        <c:lblOffset val="100"/>
        <c:tickMarkSkip val="1"/>
        <c:noMultiLvlLbl val="0"/>
      </c:catAx>
      <c:valAx>
        <c:axId val="114277376"/>
        <c:scaling>
          <c:orientation val="minMax"/>
        </c:scaling>
        <c:delete val="1"/>
        <c:axPos val="l"/>
        <c:numFmt formatCode="0%" sourceLinked="1"/>
        <c:majorTickMark val="out"/>
        <c:minorTickMark val="none"/>
        <c:tickLblPos val="none"/>
        <c:crossAx val="114275840"/>
        <c:crosses val="autoZero"/>
        <c:crossBetween val="between"/>
      </c:valAx>
      <c:spPr>
        <a:noFill/>
        <a:ln>
          <a:noFill/>
        </a:ln>
      </c:spPr>
    </c:plotArea>
    <c:legend>
      <c:legendPos val="r"/>
      <c:layout>
        <c:manualLayout>
          <c:xMode val="edge"/>
          <c:yMode val="edge"/>
          <c:x val="0.66247112246694595"/>
          <c:y val="8.4904332610597599E-2"/>
          <c:w val="0.32636643806621102"/>
          <c:h val="0.42675202982804716"/>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50"/>
      <c:rAngAx val="0"/>
      <c:perspective val="30"/>
    </c:view3D>
    <c:floor>
      <c:thickness val="0"/>
    </c:floor>
    <c:sideWall>
      <c:thickness val="0"/>
    </c:sideWall>
    <c:backWall>
      <c:thickness val="0"/>
    </c:backWall>
    <c:plotArea>
      <c:layout>
        <c:manualLayout>
          <c:layoutTarget val="inner"/>
          <c:xMode val="edge"/>
          <c:yMode val="edge"/>
          <c:x val="0.11937924298513222"/>
          <c:y val="2.5137486086490492E-2"/>
          <c:w val="0.88062075701486775"/>
          <c:h val="0.87293592227673111"/>
        </c:manualLayout>
      </c:layout>
      <c:pie3DChart>
        <c:varyColors val="1"/>
        <c:ser>
          <c:idx val="0"/>
          <c:order val="0"/>
          <c:tx>
            <c:strRef>
              <c:f>Лист1!$B$1</c:f>
              <c:strCache>
                <c:ptCount val="1"/>
                <c:pt idx="0">
                  <c:v>2012</c:v>
                </c:pt>
              </c:strCache>
            </c:strRef>
          </c:tx>
          <c:spPr>
            <a:solidFill>
              <a:schemeClr val="accent1"/>
            </a:solidFill>
            <a:ln w="19050">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c:spPr>
          <c:dPt>
            <c:idx val="0"/>
            <c:bubble3D val="0"/>
            <c:explosion val="11"/>
            <c:spPr>
              <a:gradFill>
                <a:gsLst>
                  <a:gs pos="0">
                    <a:srgbClr val="00B050"/>
                  </a:gs>
                  <a:gs pos="25000">
                    <a:srgbClr val="00B050"/>
                  </a:gs>
                  <a:gs pos="75000">
                    <a:srgbClr val="00B050">
                      <a:lumMod val="84000"/>
                      <a:lumOff val="16000"/>
                    </a:srgbClr>
                  </a:gs>
                  <a:gs pos="100000">
                    <a:srgbClr val="92D050">
                      <a:lumMod val="67000"/>
                    </a:srgbClr>
                  </a:gs>
                </a:gsLst>
                <a:lin ang="12000000" scaled="0"/>
              </a:gradFill>
              <a:ln w="19050">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c:spPr>
          </c:dPt>
          <c:dPt>
            <c:idx val="1"/>
            <c:bubble3D val="0"/>
            <c:explosion val="12"/>
            <c:spPr>
              <a:solidFill>
                <a:srgbClr val="FF6699"/>
              </a:solidFill>
              <a:ln w="19050">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c:spPr>
          </c:dPt>
          <c:dPt>
            <c:idx val="2"/>
            <c:bubble3D val="0"/>
            <c:explosion val="21"/>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a:ln w="19050">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c:spPr>
          </c:dPt>
          <c:dPt>
            <c:idx val="3"/>
            <c:bubble3D val="0"/>
            <c:explosion val="14"/>
            <c:spPr>
              <a:pattFill prst="dkUpDiag">
                <a:fgClr>
                  <a:srgbClr val="4F81BD"/>
                </a:fgClr>
                <a:bgClr>
                  <a:sysClr val="window" lastClr="FFFFFF"/>
                </a:bgClr>
              </a:pattFill>
              <a:ln w="19050">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c:spPr>
          </c:dPt>
          <c:dPt>
            <c:idx val="4"/>
            <c:bubble3D val="0"/>
            <c:explosion val="5"/>
            <c:spPr>
              <a:solidFill>
                <a:srgbClr val="FFFF00"/>
              </a:solidFill>
              <a:ln w="19050">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c:spPr>
          </c:dPt>
          <c:dLbls>
            <c:dLbl>
              <c:idx val="0"/>
              <c:layout>
                <c:manualLayout>
                  <c:x val="0"/>
                  <c:y val="0.3270314129324623"/>
                </c:manualLayout>
              </c:layout>
              <c:dLblPos val="bestFit"/>
              <c:showLegendKey val="0"/>
              <c:showVal val="0"/>
              <c:showCatName val="1"/>
              <c:showSerName val="0"/>
              <c:showPercent val="1"/>
              <c:showBubbleSize val="0"/>
            </c:dLbl>
            <c:dLbl>
              <c:idx val="1"/>
              <c:layout>
                <c:manualLayout>
                  <c:x val="-0.1496303382637918"/>
                  <c:y val="-8.2437275985663083E-2"/>
                </c:manualLayout>
              </c:layout>
              <c:dLblPos val="bestFit"/>
              <c:showLegendKey val="0"/>
              <c:showVal val="0"/>
              <c:showCatName val="1"/>
              <c:showSerName val="0"/>
              <c:showPercent val="1"/>
              <c:showBubbleSize val="0"/>
            </c:dLbl>
            <c:dLbl>
              <c:idx val="2"/>
              <c:layout>
                <c:manualLayout>
                  <c:x val="-5.5793541617305771E-2"/>
                  <c:y val="4.2638133772520639E-2"/>
                </c:manualLayout>
              </c:layout>
              <c:dLblPos val="bestFit"/>
              <c:showLegendKey val="0"/>
              <c:showVal val="0"/>
              <c:showCatName val="1"/>
              <c:showSerName val="0"/>
              <c:showPercent val="1"/>
              <c:showBubbleSize val="0"/>
            </c:dLbl>
            <c:dLbl>
              <c:idx val="3"/>
              <c:layout>
                <c:manualLayout>
                  <c:x val="-0.13870924289998723"/>
                  <c:y val="0"/>
                </c:manualLayout>
              </c:layout>
              <c:dLblPos val="bestFit"/>
              <c:showLegendKey val="0"/>
              <c:showVal val="0"/>
              <c:showCatName val="1"/>
              <c:showSerName val="0"/>
              <c:showPercent val="1"/>
              <c:showBubbleSize val="0"/>
            </c:dLbl>
            <c:dLbl>
              <c:idx val="4"/>
              <c:layout>
                <c:manualLayout>
                  <c:x val="0.10736698758082462"/>
                  <c:y val="8.961156695011165E-4"/>
                </c:manualLayout>
              </c:layout>
              <c:dLblPos val="bestFit"/>
              <c:showLegendKey val="0"/>
              <c:showVal val="0"/>
              <c:showCatName val="1"/>
              <c:showSerName val="0"/>
              <c:showPercent val="1"/>
              <c:showBubbleSize val="0"/>
            </c:dLbl>
            <c:numFmt formatCode="0.0%" sourceLinked="0"/>
            <c:txPr>
              <a:bodyPr/>
              <a:lstStyle/>
              <a:p>
                <a:pPr>
                  <a:defRPr sz="1100" b="1"/>
                </a:pPr>
                <a:endParaRPr lang="ru-RU"/>
              </a:p>
            </c:txPr>
            <c:showLegendKey val="0"/>
            <c:showVal val="0"/>
            <c:showCatName val="1"/>
            <c:showSerName val="0"/>
            <c:showPercent val="1"/>
            <c:showBubbleSize val="0"/>
            <c:showLeaderLines val="1"/>
          </c:dLbls>
          <c:cat>
            <c:strRef>
              <c:f>Лист1!$A$2:$A$6</c:f>
              <c:strCache>
                <c:ptCount val="5"/>
                <c:pt idx="0">
                  <c:v>Доходы от уплаты акцизов на диз. топливо</c:v>
                </c:pt>
                <c:pt idx="1">
                  <c:v>Доходы от уплаты акцизов на автомобильный бензин, производимый на территории РФ</c:v>
                </c:pt>
                <c:pt idx="2">
                  <c:v>Доходы от уплаты акцизов на моторные масла</c:v>
                </c:pt>
                <c:pt idx="3">
                  <c:v>Транспортный налог</c:v>
                </c:pt>
                <c:pt idx="4">
                  <c:v>Прочие</c:v>
                </c:pt>
              </c:strCache>
            </c:strRef>
          </c:cat>
          <c:val>
            <c:numRef>
              <c:f>Лист1!$B$2:$B$6</c:f>
              <c:numCache>
                <c:formatCode>General</c:formatCode>
                <c:ptCount val="5"/>
                <c:pt idx="0">
                  <c:v>21.8</c:v>
                </c:pt>
                <c:pt idx="1">
                  <c:v>43.9</c:v>
                </c:pt>
                <c:pt idx="2">
                  <c:v>0.6</c:v>
                </c:pt>
                <c:pt idx="3">
                  <c:v>33.299999999999997</c:v>
                </c:pt>
                <c:pt idx="4">
                  <c:v>0.4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3"/>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3197389885807507E-2"/>
          <c:y val="4.0095002533905161E-2"/>
          <c:w val="0.91680256992415821"/>
          <c:h val="0.80263495881458624"/>
        </c:manualLayout>
      </c:layout>
      <c:bar3DChart>
        <c:barDir val="col"/>
        <c:grouping val="clustered"/>
        <c:varyColors val="0"/>
        <c:ser>
          <c:idx val="0"/>
          <c:order val="0"/>
          <c:tx>
            <c:strRef>
              <c:f>Sheet1!$A$2</c:f>
              <c:strCache>
                <c:ptCount val="1"/>
                <c:pt idx="0">
                  <c:v>2014(план)</c:v>
                </c:pt>
              </c:strCache>
            </c:strRef>
          </c:tx>
          <c:spPr>
            <a:gradFill flip="none" rotWithShape="1">
              <a:gsLst>
                <a:gs pos="35000">
                  <a:schemeClr val="accent4">
                    <a:lumMod val="75000"/>
                  </a:schemeClr>
                </a:gs>
                <a:gs pos="85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2.4798102160306884E-3"/>
                  <c:y val="0.39148547353770979"/>
                </c:manualLayout>
              </c:layout>
              <c:showLegendKey val="0"/>
              <c:showVal val="1"/>
              <c:showCatName val="0"/>
              <c:showSerName val="0"/>
              <c:showPercent val="0"/>
              <c:showBubbleSize val="0"/>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28376.5</c:v>
                </c:pt>
              </c:numCache>
            </c:numRef>
          </c:val>
        </c:ser>
        <c:ser>
          <c:idx val="1"/>
          <c:order val="1"/>
          <c:tx>
            <c:strRef>
              <c:f>Sheet1!$A$3</c:f>
              <c:strCache>
                <c:ptCount val="1"/>
                <c:pt idx="0">
                  <c:v>2015(прогноз)</c:v>
                </c:pt>
              </c:strCache>
            </c:strRef>
          </c:tx>
          <c:spPr>
            <a:gradFill flip="none" rotWithShape="1">
              <a:gsLst>
                <a:gs pos="35000">
                  <a:srgbClr val="FFC000"/>
                </a:gs>
                <a:gs pos="85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5.5272898579985198E-3"/>
                  <c:y val="0.41746594355820799"/>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00">
                <a:noFill/>
              </a:ln>
            </c:spPr>
            <c:txPr>
              <a:bodyPr/>
              <a:lstStyle/>
              <a:p>
                <a:pPr>
                  <a:defRPr sz="9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28840</c:v>
                </c:pt>
              </c:numCache>
            </c:numRef>
          </c:val>
        </c:ser>
        <c:ser>
          <c:idx val="2"/>
          <c:order val="2"/>
          <c:tx>
            <c:strRef>
              <c:f>Sheet1!$A$4</c:f>
              <c:strCache>
                <c:ptCount val="1"/>
                <c:pt idx="0">
                  <c:v>2016(прогноз)</c:v>
                </c:pt>
              </c:strCache>
            </c:strRef>
          </c:tx>
          <c:spPr>
            <a:gradFill flip="none" rotWithShape="1">
              <a:gsLst>
                <a:gs pos="43000">
                  <a:srgbClr val="00B050"/>
                </a:gs>
                <a:gs pos="74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3.3560468402988089E-3"/>
                  <c:y val="0.4307920155513702"/>
                </c:manualLayout>
              </c:layout>
              <c:showLegendKey val="0"/>
              <c:showVal val="1"/>
              <c:showCatName val="0"/>
              <c:showSerName val="0"/>
              <c:showPercent val="0"/>
              <c:showBubbleSize val="0"/>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28868.400000000001</c:v>
                </c:pt>
              </c:numCache>
            </c:numRef>
          </c:val>
        </c:ser>
        <c:ser>
          <c:idx val="3"/>
          <c:order val="3"/>
          <c:tx>
            <c:strRef>
              <c:f>Sheet1!$A$5</c:f>
              <c:strCache>
                <c:ptCount val="1"/>
                <c:pt idx="0">
                  <c:v>2017(прогноз)</c:v>
                </c:pt>
              </c:strCache>
            </c:strRef>
          </c:tx>
          <c:spPr>
            <a:gradFill flip="none" rotWithShape="1">
              <a:gsLst>
                <a:gs pos="43000">
                  <a:srgbClr val="FF0000"/>
                </a:gs>
                <a:gs pos="74000">
                  <a:schemeClr val="accent1">
                    <a:tint val="44500"/>
                    <a:satMod val="160000"/>
                  </a:schemeClr>
                </a:gs>
                <a:gs pos="100000">
                  <a:schemeClr val="accent1">
                    <a:tint val="23500"/>
                    <a:satMod val="160000"/>
                  </a:schemeClr>
                </a:gs>
              </a:gsLst>
              <a:lin ang="5400000" scaled="1"/>
              <a:tileRect/>
            </a:gradFill>
            <a:ln w="12700">
              <a:solidFill>
                <a:srgbClr val="000000"/>
              </a:solidFill>
              <a:prstDash val="solid"/>
            </a:ln>
          </c:spPr>
          <c:invertIfNegative val="0"/>
          <c:dLbls>
            <c:dLbl>
              <c:idx val="0"/>
              <c:layout>
                <c:manualLayout>
                  <c:x val="7.5948713996393854E-3"/>
                  <c:y val="0.42229215451832025"/>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Sheet1!$B$1:$B$1</c:f>
              <c:numCache>
                <c:formatCode>General</c:formatCode>
                <c:ptCount val="1"/>
              </c:numCache>
            </c:numRef>
          </c:cat>
          <c:val>
            <c:numRef>
              <c:f>Sheet1!$B$5:$B$5</c:f>
              <c:numCache>
                <c:formatCode>0.0</c:formatCode>
                <c:ptCount val="1"/>
                <c:pt idx="0">
                  <c:v>21262.7</c:v>
                </c:pt>
              </c:numCache>
            </c:numRef>
          </c:val>
        </c:ser>
        <c:dLbls>
          <c:showLegendKey val="0"/>
          <c:showVal val="0"/>
          <c:showCatName val="0"/>
          <c:showSerName val="0"/>
          <c:showPercent val="0"/>
          <c:showBubbleSize val="0"/>
        </c:dLbls>
        <c:gapWidth val="150"/>
        <c:gapDepth val="10"/>
        <c:shape val="box"/>
        <c:axId val="176248320"/>
        <c:axId val="176249856"/>
        <c:axId val="0"/>
      </c:bar3DChart>
      <c:catAx>
        <c:axId val="176248320"/>
        <c:scaling>
          <c:orientation val="minMax"/>
        </c:scaling>
        <c:delete val="0"/>
        <c:axPos val="b"/>
        <c:numFmt formatCode="General" sourceLinked="1"/>
        <c:majorTickMark val="out"/>
        <c:minorTickMark val="none"/>
        <c:tickLblPos val="low"/>
        <c:spPr>
          <a:ln w="12700">
            <a:solidFill>
              <a:srgbClr val="FFFFFF"/>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76249856"/>
        <c:crosses val="autoZero"/>
        <c:auto val="1"/>
        <c:lblAlgn val="ctr"/>
        <c:lblOffset val="100"/>
        <c:tickLblSkip val="1"/>
        <c:tickMarkSkip val="1"/>
        <c:noMultiLvlLbl val="0"/>
      </c:catAx>
      <c:valAx>
        <c:axId val="17624985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Times New Roman" pitchFamily="18" charset="0"/>
                <a:ea typeface="Arial"/>
                <a:cs typeface="Times New Roman" pitchFamily="18" charset="0"/>
              </a:defRPr>
            </a:pPr>
            <a:endParaRPr lang="ru-RU"/>
          </a:p>
        </c:txPr>
        <c:crossAx val="176248320"/>
        <c:crosses val="autoZero"/>
        <c:crossBetween val="between"/>
      </c:valAx>
      <c:spPr>
        <a:noFill/>
        <a:ln w="25400">
          <a:noFill/>
        </a:ln>
      </c:spPr>
    </c:plotArea>
    <c:legend>
      <c:legendPos val="b"/>
      <c:layout>
        <c:manualLayout>
          <c:xMode val="edge"/>
          <c:yMode val="edge"/>
          <c:x val="0.18923327895595432"/>
          <c:y val="0.89020771513353114"/>
          <c:w val="0.66068515497553015"/>
          <c:h val="7.1216617210682495E-2"/>
        </c:manualLayout>
      </c:layout>
      <c:overlay val="0"/>
      <c:spPr>
        <a:noFill/>
        <a:ln w="3175">
          <a:solidFill>
            <a:srgbClr val="000000"/>
          </a:solidFill>
          <a:prstDash val="solid"/>
        </a:ln>
      </c:spPr>
      <c:txPr>
        <a:bodyPr/>
        <a:lstStyle/>
        <a:p>
          <a:pPr>
            <a:defRPr sz="895" b="1"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14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6"/>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8.1123244929797195E-2"/>
          <c:y val="2.155684734460183E-2"/>
          <c:w val="0.91887670583233172"/>
          <c:h val="0.82722450120411173"/>
        </c:manualLayout>
      </c:layout>
      <c:bar3DChart>
        <c:barDir val="col"/>
        <c:grouping val="clustered"/>
        <c:varyColors val="0"/>
        <c:ser>
          <c:idx val="0"/>
          <c:order val="0"/>
          <c:tx>
            <c:strRef>
              <c:f>Sheet1!$A$2</c:f>
              <c:strCache>
                <c:ptCount val="1"/>
                <c:pt idx="0">
                  <c:v>2014</c:v>
                </c:pt>
              </c:strCache>
            </c:strRef>
          </c:tx>
          <c:spPr>
            <a:gradFill flip="none" rotWithShape="1">
              <a:gsLst>
                <a:gs pos="43000">
                  <a:schemeClr val="accent4">
                    <a:lumMod val="60000"/>
                    <a:lumOff val="40000"/>
                  </a:schemeClr>
                </a:gs>
                <a:gs pos="81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5.3347069934015258E-3"/>
                  <c:y val="0.32052070104140207"/>
                </c:manualLayout>
              </c:layout>
              <c:showLegendKey val="0"/>
              <c:showVal val="1"/>
              <c:showCatName val="0"/>
              <c:showSerName val="0"/>
              <c:showPercent val="0"/>
              <c:showBubbleSize val="0"/>
            </c:dLbl>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17139.8</c:v>
                </c:pt>
              </c:numCache>
            </c:numRef>
          </c:val>
        </c:ser>
        <c:ser>
          <c:idx val="1"/>
          <c:order val="1"/>
          <c:tx>
            <c:strRef>
              <c:f>Sheet1!$A$3</c:f>
              <c:strCache>
                <c:ptCount val="1"/>
                <c:pt idx="0">
                  <c:v>2015</c:v>
                </c:pt>
              </c:strCache>
            </c:strRef>
          </c:tx>
          <c:spPr>
            <a:gradFill flip="none" rotWithShape="1">
              <a:gsLst>
                <a:gs pos="43000">
                  <a:srgbClr val="C00000"/>
                </a:gs>
                <a:gs pos="83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5.4162365792843753E-3"/>
                  <c:y val="0.26622646423939555"/>
                </c:manualLayout>
              </c:layout>
              <c:showLegendKey val="0"/>
              <c:showVal val="1"/>
              <c:showCatName val="0"/>
              <c:showSerName val="0"/>
              <c:showPercent val="0"/>
              <c:showBubbleSize val="0"/>
            </c:dLbl>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22418</c:v>
                </c:pt>
              </c:numCache>
            </c:numRef>
          </c:val>
        </c:ser>
        <c:ser>
          <c:idx val="2"/>
          <c:order val="2"/>
          <c:tx>
            <c:strRef>
              <c:f>Sheet1!$A$4</c:f>
              <c:strCache>
                <c:ptCount val="1"/>
                <c:pt idx="0">
                  <c:v>2016</c:v>
                </c:pt>
              </c:strCache>
            </c:strRef>
          </c:tx>
          <c:spPr>
            <a:gradFill flip="none" rotWithShape="1">
              <a:gsLst>
                <a:gs pos="43000">
                  <a:srgbClr val="FFC000"/>
                </a:gs>
                <a:gs pos="83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6.1385434713430286E-3"/>
                  <c:y val="0.34483882604105387"/>
                </c:manualLayout>
              </c:layout>
              <c:showLegendKey val="0"/>
              <c:showVal val="1"/>
              <c:showCatName val="0"/>
              <c:showSerName val="0"/>
              <c:showPercent val="0"/>
              <c:showBubbleSize val="0"/>
            </c:dLbl>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17485.7</c:v>
                </c:pt>
              </c:numCache>
            </c:numRef>
          </c:val>
        </c:ser>
        <c:ser>
          <c:idx val="3"/>
          <c:order val="3"/>
          <c:tx>
            <c:strRef>
              <c:f>Sheet1!$A$5</c:f>
              <c:strCache>
                <c:ptCount val="1"/>
                <c:pt idx="0">
                  <c:v>2017</c:v>
                </c:pt>
              </c:strCache>
            </c:strRef>
          </c:tx>
          <c:spPr>
            <a:gradFill flip="none" rotWithShape="1">
              <a:gsLst>
                <a:gs pos="43000">
                  <a:srgbClr val="00B0F0"/>
                </a:gs>
                <a:gs pos="83000">
                  <a:schemeClr val="accent1">
                    <a:tint val="44500"/>
                    <a:satMod val="160000"/>
                  </a:schemeClr>
                </a:gs>
                <a:gs pos="100000">
                  <a:schemeClr val="accent1">
                    <a:tint val="23500"/>
                    <a:satMod val="160000"/>
                  </a:schemeClr>
                </a:gs>
              </a:gsLst>
              <a:lin ang="2700000" scaled="1"/>
              <a:tileRect/>
            </a:gradFill>
            <a:ln w="12667">
              <a:solidFill>
                <a:srgbClr val="000000"/>
              </a:solidFill>
              <a:prstDash val="solid"/>
            </a:ln>
          </c:spPr>
          <c:invertIfNegative val="0"/>
          <c:dLbls>
            <c:dLbl>
              <c:idx val="0"/>
              <c:layout>
                <c:manualLayout>
                  <c:x val="1.1006790593014619E-2"/>
                  <c:y val="8.9088178248066793E-2"/>
                </c:manualLayout>
              </c:layout>
              <c:spPr>
                <a:noFill/>
                <a:ln w="25333">
                  <a:noFill/>
                </a:ln>
              </c:spPr>
              <c:txPr>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Sheet1!$B$1:$B$1</c:f>
              <c:numCache>
                <c:formatCode>General</c:formatCode>
                <c:ptCount val="1"/>
              </c:numCache>
            </c:numRef>
          </c:cat>
          <c:val>
            <c:numRef>
              <c:f>Sheet1!$B$5:$B$5</c:f>
              <c:numCache>
                <c:formatCode>0.0</c:formatCode>
                <c:ptCount val="1"/>
                <c:pt idx="0">
                  <c:v>2745.3</c:v>
                </c:pt>
              </c:numCache>
            </c:numRef>
          </c:val>
        </c:ser>
        <c:dLbls>
          <c:showLegendKey val="0"/>
          <c:showVal val="0"/>
          <c:showCatName val="0"/>
          <c:showSerName val="0"/>
          <c:showPercent val="0"/>
          <c:showBubbleSize val="0"/>
        </c:dLbls>
        <c:gapWidth val="150"/>
        <c:gapDepth val="10"/>
        <c:shape val="box"/>
        <c:axId val="176332800"/>
        <c:axId val="176334336"/>
        <c:axId val="0"/>
      </c:bar3DChart>
      <c:catAx>
        <c:axId val="176332800"/>
        <c:scaling>
          <c:orientation val="minMax"/>
        </c:scaling>
        <c:delete val="0"/>
        <c:axPos val="b"/>
        <c:numFmt formatCode="General" sourceLinked="1"/>
        <c:majorTickMark val="out"/>
        <c:minorTickMark val="none"/>
        <c:tickLblPos val="low"/>
        <c:spPr>
          <a:ln w="12667">
            <a:solidFill>
              <a:srgbClr val="FFFFFF"/>
            </a:solidFill>
            <a:prstDash val="solid"/>
          </a:ln>
        </c:spPr>
        <c:txPr>
          <a:bodyPr rot="0" vert="horz"/>
          <a:lstStyle/>
          <a:p>
            <a:pPr>
              <a:defRPr sz="1720" b="1" i="0" u="none" strike="noStrike" baseline="0">
                <a:solidFill>
                  <a:srgbClr val="000000"/>
                </a:solidFill>
                <a:latin typeface="Calibri"/>
                <a:ea typeface="Calibri"/>
                <a:cs typeface="Calibri"/>
              </a:defRPr>
            </a:pPr>
            <a:endParaRPr lang="ru-RU"/>
          </a:p>
        </c:txPr>
        <c:crossAx val="176334336"/>
        <c:crosses val="autoZero"/>
        <c:auto val="1"/>
        <c:lblAlgn val="ctr"/>
        <c:lblOffset val="100"/>
        <c:tickLblSkip val="1"/>
        <c:tickMarkSkip val="1"/>
        <c:noMultiLvlLbl val="0"/>
      </c:catAx>
      <c:valAx>
        <c:axId val="176334336"/>
        <c:scaling>
          <c:orientation val="minMax"/>
        </c:scaling>
        <c:delete val="0"/>
        <c:axPos val="l"/>
        <c:numFmt formatCode="General" sourceLinked="1"/>
        <c:majorTickMark val="out"/>
        <c:minorTickMark val="none"/>
        <c:tickLblPos val="nextTo"/>
        <c:spPr>
          <a:ln w="3167">
            <a:solidFill>
              <a:srgbClr val="000000"/>
            </a:solidFill>
            <a:prstDash val="solid"/>
          </a:ln>
        </c:spPr>
        <c:txPr>
          <a:bodyPr rot="0" vert="horz"/>
          <a:lstStyle/>
          <a:p>
            <a:pPr>
              <a:defRPr sz="997" b="1" i="0" u="none" strike="noStrike" baseline="0">
                <a:solidFill>
                  <a:srgbClr val="000000"/>
                </a:solidFill>
                <a:latin typeface="Times New Roman" pitchFamily="18" charset="0"/>
                <a:ea typeface="Arial"/>
                <a:cs typeface="Times New Roman" pitchFamily="18" charset="0"/>
              </a:defRPr>
            </a:pPr>
            <a:endParaRPr lang="ru-RU"/>
          </a:p>
        </c:txPr>
        <c:crossAx val="176332800"/>
        <c:crosses val="autoZero"/>
        <c:crossBetween val="between"/>
      </c:valAx>
      <c:spPr>
        <a:noFill/>
        <a:ln w="25333">
          <a:noFill/>
        </a:ln>
      </c:spPr>
    </c:plotArea>
    <c:legend>
      <c:legendPos val="r"/>
      <c:layout>
        <c:manualLayout>
          <c:xMode val="edge"/>
          <c:yMode val="edge"/>
          <c:x val="0.19812789756420635"/>
          <c:y val="0.89821514781071876"/>
          <c:w val="0.62402496099843996"/>
          <c:h val="6.5040650406504072E-2"/>
        </c:manualLayout>
      </c:layout>
      <c:overlay val="0"/>
      <c:spPr>
        <a:noFill/>
        <a:ln w="3167">
          <a:solidFill>
            <a:srgbClr val="000000"/>
          </a:solidFill>
          <a:prstDash val="solid"/>
        </a:ln>
      </c:spPr>
      <c:txPr>
        <a:bodyPr/>
        <a:lstStyle/>
        <a:p>
          <a:pPr>
            <a:defRPr sz="100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270280168467313E-2"/>
          <c:y val="3.3485540334855401E-2"/>
          <c:w val="0.90701923941750273"/>
          <c:h val="0.80702930482313562"/>
        </c:manualLayout>
      </c:layout>
      <c:bar3DChart>
        <c:barDir val="col"/>
        <c:grouping val="clustered"/>
        <c:varyColors val="0"/>
        <c:ser>
          <c:idx val="0"/>
          <c:order val="0"/>
          <c:tx>
            <c:strRef>
              <c:f>Лист1!$A$2</c:f>
              <c:strCache>
                <c:ptCount val="1"/>
                <c:pt idx="0">
                  <c:v>Общий объем заимствований (млн. руб.)</c:v>
                </c:pt>
              </c:strCache>
            </c:strRef>
          </c:tx>
          <c:spPr>
            <a:solidFill>
              <a:srgbClr val="0000FF"/>
            </a:solidFill>
            <a:ln w="12700">
              <a:solidFill>
                <a:sysClr val="windowText" lastClr="000000"/>
              </a:solidFill>
            </a:ln>
          </c:spPr>
          <c:invertIfNegative val="0"/>
          <c:dLbls>
            <c:dLbl>
              <c:idx val="0"/>
              <c:layout>
                <c:manualLayout>
                  <c:x val="2.0768431983385254E-3"/>
                  <c:y val="-1.912568306010929E-2"/>
                </c:manualLayout>
              </c:layout>
              <c:showLegendKey val="0"/>
              <c:showVal val="1"/>
              <c:showCatName val="0"/>
              <c:showSerName val="0"/>
              <c:showPercent val="0"/>
              <c:showBubbleSize val="0"/>
            </c:dLbl>
            <c:dLbl>
              <c:idx val="1"/>
              <c:layout>
                <c:manualLayout>
                  <c:x val="-2.0833333333333332E-2"/>
                  <c:y val="0"/>
                </c:manualLayout>
              </c:layout>
              <c:showLegendKey val="0"/>
              <c:showVal val="1"/>
              <c:showCatName val="0"/>
              <c:showSerName val="0"/>
              <c:showPercent val="0"/>
              <c:showBubbleSize val="0"/>
            </c:dLbl>
            <c:dLbl>
              <c:idx val="2"/>
              <c:layout>
                <c:manualLayout>
                  <c:x val="7.6150037580680326E-17"/>
                  <c:y val="2.2765801815756636E-3"/>
                </c:manualLayout>
              </c:layout>
              <c:showLegendKey val="0"/>
              <c:showVal val="1"/>
              <c:showCatName val="0"/>
              <c:showSerName val="0"/>
              <c:showPercent val="0"/>
              <c:showBubbleSize val="0"/>
            </c:dLbl>
            <c:dLbl>
              <c:idx val="3"/>
              <c:layout>
                <c:manualLayout>
                  <c:x val="-8.3073727933541015E-3"/>
                  <c:y val="-1.6914074265307001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(план)</c:v>
                </c:pt>
                <c:pt idx="1">
                  <c:v>2015 (прогноз)</c:v>
                </c:pt>
                <c:pt idx="2">
                  <c:v>2016 (прогноз)</c:v>
                </c:pt>
                <c:pt idx="3">
                  <c:v>2017 (прогноз)</c:v>
                </c:pt>
              </c:strCache>
            </c:strRef>
          </c:cat>
          <c:val>
            <c:numRef>
              <c:f>Лист1!$B$2:$E$2</c:f>
              <c:numCache>
                <c:formatCode>General</c:formatCode>
                <c:ptCount val="4"/>
                <c:pt idx="0">
                  <c:v>20282.3</c:v>
                </c:pt>
                <c:pt idx="1">
                  <c:v>22418</c:v>
                </c:pt>
                <c:pt idx="2">
                  <c:v>17485.7</c:v>
                </c:pt>
                <c:pt idx="3">
                  <c:v>2745.3</c:v>
                </c:pt>
              </c:numCache>
            </c:numRef>
          </c:val>
        </c:ser>
        <c:ser>
          <c:idx val="1"/>
          <c:order val="1"/>
          <c:tx>
            <c:strRef>
              <c:f>Лист1!$A$3</c:f>
              <c:strCache>
                <c:ptCount val="1"/>
                <c:pt idx="0">
                  <c:v>Общий объем расходов на погашение и обслуживание государственного долга (млн. руб.)</c:v>
                </c:pt>
              </c:strCache>
            </c:strRef>
          </c:tx>
          <c:spPr>
            <a:solidFill>
              <a:srgbClr val="FF0000"/>
            </a:solidFill>
            <a:ln w="12700">
              <a:solidFill>
                <a:sysClr val="windowText" lastClr="000000"/>
              </a:solidFill>
            </a:ln>
          </c:spPr>
          <c:invertIfNegative val="0"/>
          <c:dLbls>
            <c:dLbl>
              <c:idx val="0"/>
              <c:layout>
                <c:manualLayout>
                  <c:x val="2.7063883369718971E-2"/>
                  <c:y val="6.5053138849447099E-3"/>
                </c:manualLayout>
              </c:layout>
              <c:showLegendKey val="0"/>
              <c:showVal val="1"/>
              <c:showCatName val="0"/>
              <c:showSerName val="0"/>
              <c:showPercent val="0"/>
              <c:showBubbleSize val="0"/>
            </c:dLbl>
            <c:dLbl>
              <c:idx val="1"/>
              <c:layout>
                <c:manualLayout>
                  <c:x val="2.0833333333333332E-2"/>
                  <c:y val="-3.9682539682539594E-3"/>
                </c:manualLayout>
              </c:layout>
              <c:showLegendKey val="0"/>
              <c:showVal val="1"/>
              <c:showCatName val="0"/>
              <c:showSerName val="0"/>
              <c:showPercent val="0"/>
              <c:showBubbleSize val="0"/>
            </c:dLbl>
            <c:dLbl>
              <c:idx val="2"/>
              <c:layout>
                <c:manualLayout>
                  <c:x val="1.7804596855299629E-2"/>
                  <c:y val="-1.515748031496063E-2"/>
                </c:manualLayout>
              </c:layout>
              <c:showLegendKey val="0"/>
              <c:showVal val="1"/>
              <c:showCatName val="0"/>
              <c:showSerName val="0"/>
              <c:showPercent val="0"/>
              <c:showBubbleSize val="0"/>
            </c:dLbl>
            <c:dLbl>
              <c:idx val="3"/>
              <c:layout>
                <c:manualLayout>
                  <c:x val="1.8518518518518517E-2"/>
                  <c:y val="1.190476190476190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(план)</c:v>
                </c:pt>
                <c:pt idx="1">
                  <c:v>2015 (прогноз)</c:v>
                </c:pt>
                <c:pt idx="2">
                  <c:v>2016 (прогноз)</c:v>
                </c:pt>
                <c:pt idx="3">
                  <c:v>2017 (прогноз)</c:v>
                </c:pt>
              </c:strCache>
            </c:strRef>
          </c:cat>
          <c:val>
            <c:numRef>
              <c:f>Лист1!$B$3:$E$3</c:f>
              <c:numCache>
                <c:formatCode>General</c:formatCode>
                <c:ptCount val="4"/>
                <c:pt idx="0">
                  <c:v>14312.4</c:v>
                </c:pt>
                <c:pt idx="1">
                  <c:v>22949.3</c:v>
                </c:pt>
                <c:pt idx="2">
                  <c:v>20298.3</c:v>
                </c:pt>
                <c:pt idx="3">
                  <c:v>13312.9</c:v>
                </c:pt>
              </c:numCache>
            </c:numRef>
          </c:val>
        </c:ser>
        <c:ser>
          <c:idx val="2"/>
          <c:order val="2"/>
          <c:tx>
            <c:strRef>
              <c:f>Лист1!$A$4</c:f>
              <c:strCache>
                <c:ptCount val="1"/>
              </c:strCache>
            </c:strRef>
          </c:tx>
          <c:spPr>
            <a:noFill/>
          </c:spPr>
          <c:invertIfNegative val="0"/>
          <c:dLbls>
            <c:dLbl>
              <c:idx val="0"/>
              <c:layout>
                <c:manualLayout>
                  <c:x val="2.0671834625322998E-2"/>
                  <c:y val="-2.1308980213089801E-2"/>
                </c:manualLayout>
              </c:layout>
              <c:tx>
                <c:rich>
                  <a:bodyPr/>
                  <a:lstStyle/>
                  <a:p>
                    <a:r>
                      <a:rPr lang="en-US"/>
                      <a:t>66,7</a:t>
                    </a:r>
                    <a:r>
                      <a:rPr lang="ru-RU"/>
                      <a:t>%</a:t>
                    </a:r>
                    <a:endParaRPr lang="en-US"/>
                  </a:p>
                </c:rich>
              </c:tx>
              <c:showLegendKey val="0"/>
              <c:showVal val="1"/>
              <c:showCatName val="0"/>
              <c:showSerName val="0"/>
              <c:showPercent val="0"/>
              <c:showBubbleSize val="0"/>
            </c:dLbl>
            <c:dLbl>
              <c:idx val="1"/>
              <c:layout>
                <c:manualLayout>
                  <c:x val="2.6873385012919897E-2"/>
                  <c:y val="-1.8264840182648401E-2"/>
                </c:manualLayout>
              </c:layout>
              <c:tx>
                <c:rich>
                  <a:bodyPr/>
                  <a:lstStyle/>
                  <a:p>
                    <a:r>
                      <a:rPr lang="en-US"/>
                      <a:t>94,9</a:t>
                    </a:r>
                    <a:r>
                      <a:rPr lang="ru-RU"/>
                      <a:t>%</a:t>
                    </a:r>
                    <a:endParaRPr lang="en-US"/>
                  </a:p>
                </c:rich>
              </c:tx>
              <c:showLegendKey val="0"/>
              <c:showVal val="1"/>
              <c:showCatName val="0"/>
              <c:showSerName val="0"/>
              <c:showPercent val="0"/>
              <c:showBubbleSize val="0"/>
            </c:dLbl>
            <c:dLbl>
              <c:idx val="2"/>
              <c:layout>
                <c:manualLayout>
                  <c:x val="2.8940405705100817E-2"/>
                  <c:y val="-1.8264840182648401E-2"/>
                </c:manualLayout>
              </c:layout>
              <c:tx>
                <c:rich>
                  <a:bodyPr/>
                  <a:lstStyle/>
                  <a:p>
                    <a:r>
                      <a:rPr lang="en-US"/>
                      <a:t>91,3</a:t>
                    </a:r>
                    <a:r>
                      <a:rPr lang="ru-RU"/>
                      <a:t>%</a:t>
                    </a:r>
                    <a:endParaRPr lang="en-US"/>
                  </a:p>
                </c:rich>
              </c:tx>
              <c:showLegendKey val="0"/>
              <c:showVal val="1"/>
              <c:showCatName val="0"/>
              <c:showSerName val="0"/>
              <c:showPercent val="0"/>
              <c:showBubbleSize val="0"/>
            </c:dLbl>
            <c:dLbl>
              <c:idx val="3"/>
              <c:layout>
                <c:manualLayout>
                  <c:x val="2.8940568475452195E-2"/>
                  <c:y val="-1.8264840182648401E-2"/>
                </c:manualLayout>
              </c:layout>
              <c:tx>
                <c:rich>
                  <a:bodyPr/>
                  <a:lstStyle/>
                  <a:p>
                    <a:r>
                      <a:rPr lang="en-US"/>
                      <a:t>94,8</a:t>
                    </a:r>
                    <a:r>
                      <a:rPr lang="ru-RU"/>
                      <a:t>%</a:t>
                    </a:r>
                    <a:endParaRPr lang="en-US"/>
                  </a:p>
                </c:rich>
              </c:tx>
              <c:showLegendKey val="0"/>
              <c:showVal val="1"/>
              <c:showCatName val="0"/>
              <c:showSerName val="0"/>
              <c:showPercent val="0"/>
              <c:showBubbleSize val="0"/>
            </c:dLbl>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(план)</c:v>
                </c:pt>
                <c:pt idx="1">
                  <c:v>2015 (прогноз)</c:v>
                </c:pt>
                <c:pt idx="2">
                  <c:v>2016 (прогноз)</c:v>
                </c:pt>
                <c:pt idx="3">
                  <c:v>2017 (прогноз)</c:v>
                </c:pt>
              </c:strCache>
            </c:strRef>
          </c:cat>
          <c:val>
            <c:numRef>
              <c:f>Лист1!$B$4:$E$4</c:f>
              <c:numCache>
                <c:formatCode>General</c:formatCode>
                <c:ptCount val="4"/>
              </c:numCache>
            </c:numRef>
          </c:val>
        </c:ser>
        <c:dLbls>
          <c:showLegendKey val="0"/>
          <c:showVal val="1"/>
          <c:showCatName val="0"/>
          <c:showSerName val="0"/>
          <c:showPercent val="0"/>
          <c:showBubbleSize val="0"/>
        </c:dLbls>
        <c:gapWidth val="150"/>
        <c:shape val="pyramid"/>
        <c:axId val="176521600"/>
        <c:axId val="176523136"/>
        <c:axId val="0"/>
      </c:bar3DChart>
      <c:catAx>
        <c:axId val="176521600"/>
        <c:scaling>
          <c:orientation val="minMax"/>
        </c:scaling>
        <c:delete val="0"/>
        <c:axPos val="b"/>
        <c:majorTickMark val="out"/>
        <c:minorTickMark val="none"/>
        <c:tickLblPos val="nextTo"/>
        <c:txPr>
          <a:bodyPr/>
          <a:lstStyle/>
          <a:p>
            <a:pPr>
              <a:defRPr sz="1100" b="1" i="1">
                <a:latin typeface="Times New Roman" pitchFamily="18" charset="0"/>
                <a:cs typeface="Times New Roman" pitchFamily="18" charset="0"/>
              </a:defRPr>
            </a:pPr>
            <a:endParaRPr lang="ru-RU"/>
          </a:p>
        </c:txPr>
        <c:crossAx val="176523136"/>
        <c:crosses val="autoZero"/>
        <c:auto val="1"/>
        <c:lblAlgn val="ctr"/>
        <c:lblOffset val="100"/>
        <c:noMultiLvlLbl val="0"/>
      </c:catAx>
      <c:valAx>
        <c:axId val="176523136"/>
        <c:scaling>
          <c:orientation val="minMax"/>
        </c:scaling>
        <c:delete val="0"/>
        <c:axPos val="l"/>
        <c:majorGridlines/>
        <c:numFmt formatCode="General" sourceLinked="1"/>
        <c:majorTickMark val="out"/>
        <c:minorTickMark val="none"/>
        <c:tickLblPos val="nextTo"/>
        <c:txPr>
          <a:bodyPr/>
          <a:lstStyle/>
          <a:p>
            <a:pPr>
              <a:defRPr sz="1000" b="1" i="0">
                <a:latin typeface="Times New Roman" pitchFamily="18" charset="0"/>
                <a:cs typeface="Times New Roman" pitchFamily="18" charset="0"/>
              </a:defRPr>
            </a:pPr>
            <a:endParaRPr lang="ru-RU"/>
          </a:p>
        </c:txPr>
        <c:crossAx val="176521600"/>
        <c:crosses val="autoZero"/>
        <c:crossBetween val="between"/>
      </c:valAx>
    </c:plotArea>
    <c:legend>
      <c:legendPos val="b"/>
      <c:layout>
        <c:manualLayout>
          <c:xMode val="edge"/>
          <c:yMode val="edge"/>
          <c:x val="9.5490667833187538E-3"/>
          <c:y val="0.90292607891226706"/>
          <c:w val="0.97395723972003501"/>
          <c:h val="9.7073853910553676E-2"/>
        </c:manualLayout>
      </c:layout>
      <c:overlay val="0"/>
      <c:txPr>
        <a:bodyPr/>
        <a:lstStyle/>
        <a:p>
          <a:pPr>
            <a:defRPr sz="1100" b="1" i="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603475513428122"/>
          <c:y val="1.6812865497076022E-2"/>
          <c:w val="0.55306539807524058"/>
          <c:h val="0.72829816577249351"/>
        </c:manualLayout>
      </c:layout>
      <c:barChart>
        <c:barDir val="col"/>
        <c:grouping val="clustered"/>
        <c:varyColors val="0"/>
        <c:ser>
          <c:idx val="0"/>
          <c:order val="0"/>
          <c:tx>
            <c:strRef>
              <c:f>Лист1!$B$1</c:f>
              <c:strCache>
                <c:ptCount val="1"/>
                <c:pt idx="0">
                  <c:v>Индекс потребительских цен по России</c:v>
                </c:pt>
              </c:strCache>
            </c:strRef>
          </c:tx>
          <c:spPr>
            <a:solidFill>
              <a:srgbClr val="C0504D">
                <a:lumMod val="75000"/>
              </a:srgbClr>
            </a:solidFill>
          </c:spPr>
          <c:invertIfNegative val="0"/>
          <c:dLbls>
            <c:delete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106.5</c:v>
                </c:pt>
                <c:pt idx="1">
                  <c:v>107.5</c:v>
                </c:pt>
                <c:pt idx="2">
                  <c:v>105.5</c:v>
                </c:pt>
                <c:pt idx="3">
                  <c:v>104.5</c:v>
                </c:pt>
                <c:pt idx="4" formatCode="0.0">
                  <c:v>104</c:v>
                </c:pt>
              </c:numCache>
            </c:numRef>
          </c:val>
        </c:ser>
        <c:ser>
          <c:idx val="2"/>
          <c:order val="2"/>
          <c:tx>
            <c:strRef>
              <c:f>Лист1!$D$1</c:f>
              <c:strCache>
                <c:ptCount val="1"/>
                <c:pt idx="0">
                  <c:v>Индекс потребительских цен по Амурской области</c:v>
                </c:pt>
              </c:strCache>
            </c:strRef>
          </c:tx>
          <c:spPr>
            <a:solidFill>
              <a:schemeClr val="tx2">
                <a:lumMod val="60000"/>
                <a:lumOff val="40000"/>
              </a:schemeClr>
            </a:solidFill>
          </c:spPr>
          <c:invertIfNegative val="0"/>
          <c:dLbls>
            <c:delete val="1"/>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107.7</c:v>
                </c:pt>
                <c:pt idx="1">
                  <c:v>106.7</c:v>
                </c:pt>
                <c:pt idx="2">
                  <c:v>106.7</c:v>
                </c:pt>
                <c:pt idx="3">
                  <c:v>104.8</c:v>
                </c:pt>
                <c:pt idx="4">
                  <c:v>104.4</c:v>
                </c:pt>
              </c:numCache>
            </c:numRef>
          </c:val>
        </c:ser>
        <c:dLbls>
          <c:showLegendKey val="0"/>
          <c:showVal val="1"/>
          <c:showCatName val="0"/>
          <c:showSerName val="0"/>
          <c:showPercent val="0"/>
          <c:showBubbleSize val="0"/>
        </c:dLbls>
        <c:gapWidth val="64"/>
        <c:axId val="165382016"/>
        <c:axId val="165392384"/>
      </c:barChart>
      <c:lineChart>
        <c:grouping val="standard"/>
        <c:varyColors val="0"/>
        <c:ser>
          <c:idx val="1"/>
          <c:order val="1"/>
          <c:tx>
            <c:strRef>
              <c:f>Лист1!$C$1</c:f>
              <c:strCache>
                <c:ptCount val="1"/>
                <c:pt idx="0">
                  <c:v>Темп роста тарифов на электроэнергию, отпущенную различным категориям потребителей</c:v>
                </c:pt>
              </c:strCache>
            </c:strRef>
          </c:tx>
          <c:spPr>
            <a:ln>
              <a:solidFill>
                <a:srgbClr val="92D050"/>
              </a:solidFill>
            </a:ln>
          </c:spPr>
          <c:marker>
            <c:spPr>
              <a:solidFill>
                <a:srgbClr val="92D050"/>
              </a:solidFill>
              <a:ln>
                <a:solidFill>
                  <a:srgbClr val="92D050"/>
                </a:solidFill>
              </a:ln>
            </c:spPr>
          </c:marker>
          <c:dLbls>
            <c:delete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105.32</c:v>
                </c:pt>
                <c:pt idx="1">
                  <c:v>104.69</c:v>
                </c:pt>
                <c:pt idx="2">
                  <c:v>108.2</c:v>
                </c:pt>
                <c:pt idx="3" formatCode="0.0">
                  <c:v>109</c:v>
                </c:pt>
                <c:pt idx="4" formatCode="0.0">
                  <c:v>108</c:v>
                </c:pt>
              </c:numCache>
            </c:numRef>
          </c:val>
          <c:smooth val="0"/>
        </c:ser>
        <c:dLbls>
          <c:showLegendKey val="0"/>
          <c:showVal val="1"/>
          <c:showCatName val="0"/>
          <c:showSerName val="0"/>
          <c:showPercent val="0"/>
          <c:showBubbleSize val="0"/>
        </c:dLbls>
        <c:marker val="1"/>
        <c:smooth val="0"/>
        <c:axId val="165393920"/>
        <c:axId val="165395840"/>
      </c:lineChart>
      <c:catAx>
        <c:axId val="165382016"/>
        <c:scaling>
          <c:orientation val="minMax"/>
        </c:scaling>
        <c:delete val="0"/>
        <c:axPos val="b"/>
        <c:numFmt formatCode="General" sourceLinked="1"/>
        <c:majorTickMark val="cross"/>
        <c:minorTickMark val="none"/>
        <c:tickLblPos val="nextTo"/>
        <c:txPr>
          <a:bodyPr rot="0" vert="horz"/>
          <a:lstStyle/>
          <a:p>
            <a:pPr>
              <a:defRPr/>
            </a:pPr>
            <a:endParaRPr lang="ru-RU"/>
          </a:p>
        </c:txPr>
        <c:crossAx val="165392384"/>
        <c:crosses val="autoZero"/>
        <c:auto val="0"/>
        <c:lblAlgn val="ctr"/>
        <c:lblOffset val="100"/>
        <c:tickMarkSkip val="1"/>
        <c:noMultiLvlLbl val="0"/>
      </c:catAx>
      <c:valAx>
        <c:axId val="165392384"/>
        <c:scaling>
          <c:orientation val="minMax"/>
          <c:min val="100"/>
        </c:scaling>
        <c:delete val="0"/>
        <c:axPos val="l"/>
        <c:numFmt formatCode="General"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65382016"/>
        <c:crosses val="autoZero"/>
        <c:crossBetween val="between"/>
        <c:majorUnit val="4"/>
        <c:minorUnit val="1"/>
      </c:valAx>
      <c:catAx>
        <c:axId val="165393920"/>
        <c:scaling>
          <c:orientation val="minMax"/>
        </c:scaling>
        <c:delete val="1"/>
        <c:axPos val="b"/>
        <c:title>
          <c:tx>
            <c:rich>
              <a:bodyPr/>
              <a:lstStyle/>
              <a:p>
                <a:pPr>
                  <a:defRPr b="0">
                    <a:latin typeface="Times New Roman" pitchFamily="18" charset="0"/>
                    <a:cs typeface="Times New Roman" pitchFamily="18" charset="0"/>
                  </a:defRPr>
                </a:pPr>
                <a:r>
                  <a:rPr lang="ru-RU"/>
                  <a:t>Проценты</a:t>
                </a:r>
              </a:p>
            </c:rich>
          </c:tx>
          <c:layout>
            <c:manualLayout>
              <c:xMode val="edge"/>
              <c:yMode val="edge"/>
              <c:x val="0.20633621884220993"/>
              <c:y val="0.17900760822618692"/>
            </c:manualLayout>
          </c:layout>
          <c:overlay val="0"/>
        </c:title>
        <c:numFmt formatCode="General" sourceLinked="1"/>
        <c:majorTickMark val="out"/>
        <c:minorTickMark val="none"/>
        <c:tickLblPos val="nextTo"/>
        <c:crossAx val="165395840"/>
        <c:crosses val="autoZero"/>
        <c:auto val="0"/>
        <c:lblAlgn val="ctr"/>
        <c:lblOffset val="100"/>
        <c:noMultiLvlLbl val="0"/>
      </c:catAx>
      <c:valAx>
        <c:axId val="165395840"/>
        <c:scaling>
          <c:orientation val="minMax"/>
          <c:min val="100"/>
        </c:scaling>
        <c:delete val="0"/>
        <c:axPos val="r"/>
        <c:title>
          <c:tx>
            <c:rich>
              <a:bodyPr rot="0" vert="wordArtVert"/>
              <a:lstStyle/>
              <a:p>
                <a:pPr>
                  <a:defRPr b="0">
                    <a:latin typeface="Times New Roman" pitchFamily="18" charset="0"/>
                    <a:cs typeface="Times New Roman" pitchFamily="18" charset="0"/>
                  </a:defRPr>
                </a:pPr>
                <a:r>
                  <a:rPr lang="ru-RU"/>
                  <a:t>проценты</a:t>
                </a:r>
              </a:p>
            </c:rich>
          </c:tx>
          <c:layout>
            <c:manualLayout>
              <c:xMode val="edge"/>
              <c:yMode val="edge"/>
              <c:x val="0.96606690468039325"/>
              <c:y val="2.3315033827942817E-2"/>
            </c:manualLayout>
          </c:layout>
          <c:overlay val="0"/>
        </c:title>
        <c:numFmt formatCode="General"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65393920"/>
        <c:crosses val="max"/>
        <c:crossBetween val="between"/>
        <c:majorUnit val="4"/>
      </c:valAx>
      <c:dTable>
        <c:showHorzBorder val="1"/>
        <c:showVertBorder val="1"/>
        <c:showOutline val="1"/>
        <c:showKeys val="1"/>
        <c:spPr>
          <a:ln w="19050" cmpd="sng">
            <a:solidFill>
              <a:sysClr val="windowText" lastClr="000000"/>
            </a:solidFill>
          </a:ln>
        </c:spPr>
        <c:txPr>
          <a:bodyPr/>
          <a:lstStyle/>
          <a:p>
            <a:pPr rtl="0">
              <a:defRPr sz="771" b="1">
                <a:latin typeface="Times New Roman" pitchFamily="18" charset="0"/>
                <a:cs typeface="Times New Roman" pitchFamily="18" charset="0"/>
              </a:defRPr>
            </a:pPr>
            <a:endParaRPr lang="ru-RU"/>
          </a:p>
        </c:txPr>
      </c:dTable>
      <c:spPr>
        <a:gradFill flip="none" rotWithShape="1">
          <a:gsLst>
            <a:gs pos="0">
              <a:sysClr val="window" lastClr="FFFFFF">
                <a:lumMod val="95000"/>
              </a:sysClr>
            </a:gs>
            <a:gs pos="100000">
              <a:schemeClr val="accent1">
                <a:lumMod val="20000"/>
                <a:lumOff val="80000"/>
              </a:schemeClr>
            </a:gs>
          </a:gsLst>
          <a:lin ang="5400000" scaled="1"/>
          <a:tileRect/>
        </a:gradFill>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088353413654619E-2"/>
          <c:y val="9.5238095238095233E-2"/>
          <c:w val="0.95582329317269077"/>
          <c:h val="0.50260076526578756"/>
        </c:manualLayout>
      </c:layout>
      <c:areaChart>
        <c:grouping val="standard"/>
        <c:varyColors val="0"/>
        <c:ser>
          <c:idx val="0"/>
          <c:order val="0"/>
          <c:tx>
            <c:strRef>
              <c:f>Лист1!$B$1</c:f>
              <c:strCache>
                <c:ptCount val="1"/>
                <c:pt idx="0">
                  <c:v>Денежные доходы (в среднем на душу населения в месяц), рублей</c:v>
                </c:pt>
              </c:strCache>
            </c:strRef>
          </c:tx>
          <c:spPr>
            <a:effectLst>
              <a:glow rad="139700">
                <a:schemeClr val="accent1">
                  <a:satMod val="175000"/>
                  <a:alpha val="40000"/>
                </a:schemeClr>
              </a:glow>
              <a:softEdge rad="0"/>
            </a:effectLst>
          </c:spPr>
          <c:dLbls>
            <c:dLbl>
              <c:idx val="0"/>
              <c:layout>
                <c:manualLayout>
                  <c:x val="4.738402428612086E-2"/>
                  <c:y val="-0.12660917385326834"/>
                </c:manualLayout>
              </c:layout>
              <c:showLegendKey val="0"/>
              <c:showVal val="1"/>
              <c:showCatName val="0"/>
              <c:showSerName val="0"/>
              <c:showPercent val="0"/>
              <c:showBubbleSize val="0"/>
            </c:dLbl>
            <c:dLbl>
              <c:idx val="1"/>
              <c:layout>
                <c:manualLayout>
                  <c:x val="1.4362963665686368E-2"/>
                  <c:y val="-0.12679553944645808"/>
                </c:manualLayout>
              </c:layout>
              <c:showLegendKey val="0"/>
              <c:showVal val="1"/>
              <c:showCatName val="0"/>
              <c:showSerName val="0"/>
              <c:showPercent val="0"/>
              <c:showBubbleSize val="0"/>
            </c:dLbl>
            <c:dLbl>
              <c:idx val="2"/>
              <c:layout>
                <c:manualLayout>
                  <c:x val="3.4024286120861399E-3"/>
                  <c:y val="-0.14210834756766516"/>
                </c:manualLayout>
              </c:layout>
              <c:showLegendKey val="0"/>
              <c:showVal val="1"/>
              <c:showCatName val="0"/>
              <c:showSerName val="0"/>
              <c:showPercent val="0"/>
              <c:showBubbleSize val="0"/>
            </c:dLbl>
            <c:dLbl>
              <c:idx val="3"/>
              <c:layout>
                <c:manualLayout>
                  <c:x val="-2.8837554944186192E-2"/>
                  <c:y val="-0.16015886903026008"/>
                </c:manualLayout>
              </c:layout>
              <c:showLegendKey val="0"/>
              <c:showVal val="1"/>
              <c:showCatName val="0"/>
              <c:showSerName val="0"/>
              <c:showPercent val="0"/>
              <c:showBubbleSize val="0"/>
            </c:dLbl>
            <c:dLbl>
              <c:idx val="4"/>
              <c:layout>
                <c:manualLayout>
                  <c:x val="-4.8192771084337352E-2"/>
                  <c:y val="-0.16627199377855545"/>
                </c:manualLayout>
              </c:layout>
              <c:showLegendKey val="0"/>
              <c:showVal val="1"/>
              <c:showCatName val="0"/>
              <c:showSerName val="0"/>
              <c:showPercent val="0"/>
              <c:showBubbleSize val="0"/>
            </c:dLbl>
            <c:txPr>
              <a:bodyPr anchor="t" anchorCtr="1"/>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2013</c:v>
                </c:pt>
                <c:pt idx="1">
                  <c:v>2014 (оценка)</c:v>
                </c:pt>
                <c:pt idx="2">
                  <c:v>2015 (прогноз)</c:v>
                </c:pt>
                <c:pt idx="3">
                  <c:v>2016 (прогноз)</c:v>
                </c:pt>
                <c:pt idx="4">
                  <c:v>2017 (прогноз)</c:v>
                </c:pt>
              </c:strCache>
            </c:strRef>
          </c:cat>
          <c:val>
            <c:numRef>
              <c:f>Лист1!$B$2:$B$6</c:f>
              <c:numCache>
                <c:formatCode>General</c:formatCode>
                <c:ptCount val="5"/>
                <c:pt idx="0">
                  <c:v>24234.2</c:v>
                </c:pt>
                <c:pt idx="1">
                  <c:v>26730.38</c:v>
                </c:pt>
                <c:pt idx="2">
                  <c:v>28284.76</c:v>
                </c:pt>
                <c:pt idx="3">
                  <c:v>30175.73</c:v>
                </c:pt>
                <c:pt idx="4">
                  <c:v>32094.38</c:v>
                </c:pt>
              </c:numCache>
            </c:numRef>
          </c:val>
        </c:ser>
        <c:ser>
          <c:idx val="1"/>
          <c:order val="1"/>
          <c:tx>
            <c:strRef>
              <c:f>Лист1!$C$1</c:f>
              <c:strCache>
                <c:ptCount val="1"/>
                <c:pt idx="0">
                  <c:v>Величина прожиточного минимума (в среднем на душу населения), рублей в месяц</c:v>
                </c:pt>
              </c:strCache>
            </c:strRef>
          </c:tx>
          <c:dLbls>
            <c:dLbl>
              <c:idx val="0"/>
              <c:layout>
                <c:manualLayout>
                  <c:x val="3.7036966764696581E-2"/>
                  <c:y val="-1.909261342332215E-2"/>
                </c:manualLayout>
              </c:layout>
              <c:showLegendKey val="0"/>
              <c:showVal val="1"/>
              <c:showCatName val="0"/>
              <c:showSerName val="0"/>
              <c:showPercent val="0"/>
              <c:showBubbleSize val="0"/>
            </c:dLbl>
            <c:dLbl>
              <c:idx val="1"/>
              <c:layout>
                <c:manualLayout>
                  <c:x val="4.6296999019700847E-3"/>
                  <c:y val="-1.9258703773139468E-2"/>
                </c:manualLayout>
              </c:layout>
              <c:showLegendKey val="0"/>
              <c:showVal val="1"/>
              <c:showCatName val="0"/>
              <c:showSerName val="0"/>
              <c:showPercent val="0"/>
              <c:showBubbleSize val="0"/>
            </c:dLbl>
            <c:dLbl>
              <c:idx val="2"/>
              <c:layout>
                <c:manualLayout>
                  <c:x val="-4.0160642570281121E-3"/>
                  <c:y val="-2.2786040633809661E-2"/>
                </c:manualLayout>
              </c:layout>
              <c:showLegendKey val="0"/>
              <c:showVal val="1"/>
              <c:showCatName val="0"/>
              <c:showSerName val="0"/>
              <c:showPercent val="0"/>
              <c:showBubbleSize val="0"/>
            </c:dLbl>
            <c:dLbl>
              <c:idx val="3"/>
              <c:layout>
                <c:manualLayout>
                  <c:x val="-3.4108718337918606E-2"/>
                  <c:y val="-1.6063547612104108E-2"/>
                </c:manualLayout>
              </c:layout>
              <c:showLegendKey val="0"/>
              <c:showVal val="1"/>
              <c:showCatName val="0"/>
              <c:showSerName val="0"/>
              <c:showPercent val="0"/>
              <c:showBubbleSize val="0"/>
            </c:dLbl>
            <c:dLbl>
              <c:idx val="4"/>
              <c:layout>
                <c:manualLayout>
                  <c:x val="-3.2128514056224897E-2"/>
                  <c:y val="-1.2043494563179668E-2"/>
                </c:manualLayout>
              </c:layout>
              <c:showLegendKey val="0"/>
              <c:showVal val="1"/>
              <c:showCatName val="0"/>
              <c:showSerName val="0"/>
              <c:showPercent val="0"/>
              <c:showBubbleSize val="0"/>
            </c:dLbl>
            <c:txPr>
              <a:bodyPr/>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2013</c:v>
                </c:pt>
                <c:pt idx="1">
                  <c:v>2014 (оценка)</c:v>
                </c:pt>
                <c:pt idx="2">
                  <c:v>2015 (прогноз)</c:v>
                </c:pt>
                <c:pt idx="3">
                  <c:v>2016 (прогноз)</c:v>
                </c:pt>
                <c:pt idx="4">
                  <c:v>2017 (прогноз)</c:v>
                </c:pt>
              </c:strCache>
            </c:strRef>
          </c:cat>
          <c:val>
            <c:numRef>
              <c:f>Лист1!$C$2:$C$6</c:f>
              <c:numCache>
                <c:formatCode>General</c:formatCode>
                <c:ptCount val="5"/>
                <c:pt idx="0">
                  <c:v>9003</c:v>
                </c:pt>
                <c:pt idx="1">
                  <c:v>9475</c:v>
                </c:pt>
                <c:pt idx="2">
                  <c:v>9665</c:v>
                </c:pt>
                <c:pt idx="3">
                  <c:v>9858</c:v>
                </c:pt>
                <c:pt idx="4">
                  <c:v>10055</c:v>
                </c:pt>
              </c:numCache>
            </c:numRef>
          </c:val>
        </c:ser>
        <c:dLbls>
          <c:showLegendKey val="0"/>
          <c:showVal val="1"/>
          <c:showCatName val="0"/>
          <c:showSerName val="0"/>
          <c:showPercent val="0"/>
          <c:showBubbleSize val="0"/>
        </c:dLbls>
        <c:axId val="167593856"/>
        <c:axId val="167595392"/>
      </c:areaChart>
      <c:lineChart>
        <c:grouping val="standard"/>
        <c:varyColors val="0"/>
        <c:ser>
          <c:idx val="2"/>
          <c:order val="2"/>
          <c:tx>
            <c:strRef>
              <c:f>Лист1!$D$1</c:f>
              <c:strCache>
                <c:ptCount val="1"/>
                <c:pt idx="0">
                  <c:v>Доля населения с денежными доходами ниже величины прожиточного минимума в общей численности населения, процентов (вариант 2)</c:v>
                </c:pt>
              </c:strCache>
            </c:strRef>
          </c:tx>
          <c:spPr>
            <a:ln>
              <a:solidFill>
                <a:srgbClr val="92D050"/>
              </a:solidFill>
            </a:ln>
          </c:spPr>
          <c:marker>
            <c:symbol val="square"/>
            <c:size val="6"/>
            <c:spPr>
              <a:solidFill>
                <a:srgbClr val="92D050"/>
              </a:solidFill>
            </c:spPr>
          </c:marker>
          <c:dLbls>
            <c:dLbl>
              <c:idx val="4"/>
              <c:layout>
                <c:manualLayout>
                  <c:x val="-3.5140562248995983E-3"/>
                  <c:y val="4.7747747747747746E-2"/>
                </c:manualLayout>
              </c:layout>
              <c:dLblPos val="r"/>
              <c:showLegendKey val="0"/>
              <c:showVal val="1"/>
              <c:showCatName val="0"/>
              <c:showSerName val="0"/>
              <c:showPercent val="0"/>
              <c:showBubbleSize val="0"/>
            </c:dLbl>
            <c:numFmt formatCode="0.0%" sourceLinked="0"/>
            <c:spPr>
              <a:solidFill>
                <a:schemeClr val="accent3">
                  <a:lumMod val="60000"/>
                  <a:lumOff val="40000"/>
                </a:schemeClr>
              </a:solidFill>
              <a:ln w="28575">
                <a:solidFill>
                  <a:srgbClr val="00B050"/>
                </a:solidFill>
              </a:ln>
            </c:spPr>
            <c:txPr>
              <a:bodyPr anchor="t" anchorCtr="0"/>
              <a:lstStyle/>
              <a:p>
                <a:pPr>
                  <a:defRPr sz="1000" b="1">
                    <a:solidFill>
                      <a:sysClr val="windowText" lastClr="000000"/>
                    </a:solidFill>
                  </a:defRPr>
                </a:pPr>
                <a:endParaRPr lang="ru-RU"/>
              </a:p>
            </c:txPr>
            <c:dLblPos val="b"/>
            <c:showLegendKey val="0"/>
            <c:showVal val="1"/>
            <c:showCatName val="0"/>
            <c:showSerName val="0"/>
            <c:showPercent val="0"/>
            <c:showBubbleSize val="0"/>
            <c:showLeaderLines val="0"/>
          </c:dLbls>
          <c:cat>
            <c:strRef>
              <c:f>Лист1!$A$2:$A$6</c:f>
              <c:strCache>
                <c:ptCount val="5"/>
                <c:pt idx="0">
                  <c:v>2013</c:v>
                </c:pt>
                <c:pt idx="1">
                  <c:v>2014 (оценка)</c:v>
                </c:pt>
                <c:pt idx="2">
                  <c:v>2015 (прогноз)</c:v>
                </c:pt>
                <c:pt idx="3">
                  <c:v>2016 (прогноз)</c:v>
                </c:pt>
                <c:pt idx="4">
                  <c:v>2017 (прогноз)</c:v>
                </c:pt>
              </c:strCache>
            </c:strRef>
          </c:cat>
          <c:val>
            <c:numRef>
              <c:f>Лист1!$D$2:$D$6</c:f>
              <c:numCache>
                <c:formatCode>General</c:formatCode>
                <c:ptCount val="5"/>
                <c:pt idx="0">
                  <c:v>0.157</c:v>
                </c:pt>
                <c:pt idx="1">
                  <c:v>0.155</c:v>
                </c:pt>
                <c:pt idx="2">
                  <c:v>0.153</c:v>
                </c:pt>
                <c:pt idx="3">
                  <c:v>0.151</c:v>
                </c:pt>
                <c:pt idx="4">
                  <c:v>0.15</c:v>
                </c:pt>
              </c:numCache>
            </c:numRef>
          </c:val>
          <c:smooth val="0"/>
        </c:ser>
        <c:ser>
          <c:idx val="3"/>
          <c:order val="3"/>
          <c:tx>
            <c:strRef>
              <c:f>Лист1!$E$1</c:f>
              <c:strCache>
                <c:ptCount val="1"/>
                <c:pt idx="0">
                  <c:v>Доля населения с денежными доходами ниже величины прожиточного минимума в общей численности населения, процентов (вариант 1)</c:v>
                </c:pt>
              </c:strCache>
            </c:strRef>
          </c:tx>
          <c:spPr>
            <a:ln>
              <a:solidFill>
                <a:srgbClr val="1F497D">
                  <a:lumMod val="60000"/>
                  <a:lumOff val="40000"/>
                </a:srgbClr>
              </a:solidFill>
            </a:ln>
          </c:spPr>
          <c:marker>
            <c:symbol val="x"/>
            <c:size val="7"/>
            <c:spPr>
              <a:solidFill>
                <a:srgbClr val="1F497D">
                  <a:lumMod val="60000"/>
                  <a:lumOff val="40000"/>
                </a:srgbClr>
              </a:solidFill>
            </c:spPr>
          </c:marker>
          <c:dLbls>
            <c:dLbl>
              <c:idx val="4"/>
              <c:layout>
                <c:manualLayout>
                  <c:x val="-6.5261044176706823E-3"/>
                  <c:y val="-5.3153153153153151E-2"/>
                </c:manualLayout>
              </c:layout>
              <c:dLblPos val="r"/>
              <c:showLegendKey val="0"/>
              <c:showVal val="1"/>
              <c:showCatName val="0"/>
              <c:showSerName val="0"/>
              <c:showPercent val="0"/>
              <c:showBubbleSize val="0"/>
            </c:dLbl>
            <c:numFmt formatCode="0.0%" sourceLinked="0"/>
            <c:spPr>
              <a:solidFill>
                <a:srgbClr val="1F497D">
                  <a:lumMod val="40000"/>
                  <a:lumOff val="60000"/>
                </a:srgbClr>
              </a:solidFill>
              <a:ln w="28575">
                <a:solidFill>
                  <a:srgbClr val="1F497D">
                    <a:lumMod val="75000"/>
                  </a:srgbClr>
                </a:solidFill>
              </a:ln>
            </c:spPr>
            <c:txPr>
              <a:bodyPr/>
              <a:lstStyle/>
              <a:p>
                <a:pPr>
                  <a:defRPr b="1"/>
                </a:pPr>
                <a:endParaRPr lang="ru-RU"/>
              </a:p>
            </c:txPr>
            <c:dLblPos val="t"/>
            <c:showLegendKey val="0"/>
            <c:showVal val="1"/>
            <c:showCatName val="0"/>
            <c:showSerName val="0"/>
            <c:showPercent val="0"/>
            <c:showBubbleSize val="0"/>
            <c:showLeaderLines val="0"/>
          </c:dLbls>
          <c:cat>
            <c:strRef>
              <c:f>Лист1!$A$2:$A$6</c:f>
              <c:strCache>
                <c:ptCount val="5"/>
                <c:pt idx="0">
                  <c:v>2013</c:v>
                </c:pt>
                <c:pt idx="1">
                  <c:v>2014 (оценка)</c:v>
                </c:pt>
                <c:pt idx="2">
                  <c:v>2015 (прогноз)</c:v>
                </c:pt>
                <c:pt idx="3">
                  <c:v>2016 (прогноз)</c:v>
                </c:pt>
                <c:pt idx="4">
                  <c:v>2017 (прогноз)</c:v>
                </c:pt>
              </c:strCache>
            </c:strRef>
          </c:cat>
          <c:val>
            <c:numRef>
              <c:f>Лист1!$E$2:$E$6</c:f>
              <c:numCache>
                <c:formatCode>General</c:formatCode>
                <c:ptCount val="5"/>
                <c:pt idx="0">
                  <c:v>0.157</c:v>
                </c:pt>
                <c:pt idx="1">
                  <c:v>0.155</c:v>
                </c:pt>
                <c:pt idx="2">
                  <c:v>0.156</c:v>
                </c:pt>
                <c:pt idx="3">
                  <c:v>0.157</c:v>
                </c:pt>
                <c:pt idx="4">
                  <c:v>0.157</c:v>
                </c:pt>
              </c:numCache>
            </c:numRef>
          </c:val>
          <c:smooth val="0"/>
        </c:ser>
        <c:dLbls>
          <c:showLegendKey val="0"/>
          <c:showVal val="1"/>
          <c:showCatName val="0"/>
          <c:showSerName val="0"/>
          <c:showPercent val="0"/>
          <c:showBubbleSize val="0"/>
        </c:dLbls>
        <c:marker val="1"/>
        <c:smooth val="0"/>
        <c:axId val="167627392"/>
        <c:axId val="167625856"/>
      </c:lineChart>
      <c:catAx>
        <c:axId val="167593856"/>
        <c:scaling>
          <c:orientation val="minMax"/>
        </c:scaling>
        <c:delete val="0"/>
        <c:axPos val="b"/>
        <c:numFmt formatCode="General" sourceLinked="1"/>
        <c:majorTickMark val="out"/>
        <c:minorTickMark val="none"/>
        <c:tickLblPos val="nextTo"/>
        <c:crossAx val="167595392"/>
        <c:crosses val="autoZero"/>
        <c:auto val="1"/>
        <c:lblAlgn val="ctr"/>
        <c:lblOffset val="100"/>
        <c:noMultiLvlLbl val="0"/>
      </c:catAx>
      <c:valAx>
        <c:axId val="167595392"/>
        <c:scaling>
          <c:orientation val="minMax"/>
        </c:scaling>
        <c:delete val="0"/>
        <c:axPos val="l"/>
        <c:majorGridlines>
          <c:spPr>
            <a:ln>
              <a:noFill/>
            </a:ln>
          </c:spPr>
        </c:majorGridlines>
        <c:numFmt formatCode="General" sourceLinked="1"/>
        <c:majorTickMark val="none"/>
        <c:minorTickMark val="none"/>
        <c:tickLblPos val="none"/>
        <c:spPr>
          <a:noFill/>
          <a:ln>
            <a:noFill/>
          </a:ln>
        </c:spPr>
        <c:crossAx val="167593856"/>
        <c:crosses val="autoZero"/>
        <c:crossBetween val="between"/>
      </c:valAx>
      <c:valAx>
        <c:axId val="167625856"/>
        <c:scaling>
          <c:orientation val="minMax"/>
          <c:max val="0.16000000000000003"/>
          <c:min val="0"/>
        </c:scaling>
        <c:delete val="0"/>
        <c:axPos val="r"/>
        <c:numFmt formatCode="0.0%" sourceLinked="0"/>
        <c:majorTickMark val="none"/>
        <c:minorTickMark val="none"/>
        <c:tickLblPos val="none"/>
        <c:spPr>
          <a:noFill/>
          <a:ln>
            <a:noFill/>
          </a:ln>
        </c:spPr>
        <c:crossAx val="167627392"/>
        <c:crosses val="max"/>
        <c:crossBetween val="between"/>
        <c:majorUnit val="0.8"/>
      </c:valAx>
      <c:catAx>
        <c:axId val="167627392"/>
        <c:scaling>
          <c:orientation val="minMax"/>
        </c:scaling>
        <c:delete val="1"/>
        <c:axPos val="b"/>
        <c:numFmt formatCode="General" sourceLinked="1"/>
        <c:majorTickMark val="out"/>
        <c:minorTickMark val="none"/>
        <c:tickLblPos val="nextTo"/>
        <c:crossAx val="167625856"/>
        <c:crosses val="autoZero"/>
        <c:auto val="1"/>
        <c:lblAlgn val="ctr"/>
        <c:lblOffset val="100"/>
        <c:noMultiLvlLbl val="0"/>
      </c:catAx>
    </c:plotArea>
    <c:legend>
      <c:legendPos val="b"/>
      <c:layout>
        <c:manualLayout>
          <c:xMode val="edge"/>
          <c:yMode val="edge"/>
          <c:x val="0"/>
          <c:y val="0.67447136577807287"/>
          <c:w val="0.98949799196787147"/>
          <c:h val="0.32552863422192707"/>
        </c:manualLayout>
      </c:layout>
      <c:overlay val="0"/>
    </c:legend>
    <c:plotVisOnly val="1"/>
    <c:dispBlanksAs val="gap"/>
    <c:showDLblsOverMax val="0"/>
  </c:chart>
  <c:spPr>
    <a:solidFill>
      <a:sysClr val="window" lastClr="FFFFFF"/>
    </a:solid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40683188937666"/>
          <c:y val="2.1095163104611923E-2"/>
          <c:w val="0.47835582499090268"/>
          <c:h val="0.72829816577249351"/>
        </c:manualLayout>
      </c:layout>
      <c:barChart>
        <c:barDir val="col"/>
        <c:grouping val="clustered"/>
        <c:varyColors val="0"/>
        <c:ser>
          <c:idx val="0"/>
          <c:order val="0"/>
          <c:tx>
            <c:strRef>
              <c:f>Sheet1!$A$2</c:f>
              <c:strCache>
                <c:ptCount val="1"/>
                <c:pt idx="0">
                  <c:v>ВРП (вариант 1)</c:v>
                </c:pt>
              </c:strCache>
            </c:strRef>
          </c:tx>
          <c:spPr>
            <a:solidFill>
              <a:srgbClr val="C0504D">
                <a:lumMod val="75000"/>
              </a:srgbClr>
            </a:solidFill>
          </c:spPr>
          <c:invertIfNegative val="0"/>
          <c:dLbls>
            <c:delete val="1"/>
          </c:dLbls>
          <c:cat>
            <c:strRef>
              <c:f>Sheet1!$B$1:$F$1</c:f>
              <c:strCache>
                <c:ptCount val="5"/>
                <c:pt idx="0">
                  <c:v>2013</c:v>
                </c:pt>
                <c:pt idx="1">
                  <c:v>2014 (оценка)</c:v>
                </c:pt>
                <c:pt idx="2">
                  <c:v>2015 (прогноз)</c:v>
                </c:pt>
                <c:pt idx="3">
                  <c:v>2016 (прогноз)</c:v>
                </c:pt>
                <c:pt idx="4">
                  <c:v>2017 (прогноз)</c:v>
                </c:pt>
              </c:strCache>
            </c:strRef>
          </c:cat>
          <c:val>
            <c:numRef>
              <c:f>Sheet1!$B$2:$F$2</c:f>
              <c:numCache>
                <c:formatCode>0.00</c:formatCode>
                <c:ptCount val="5"/>
                <c:pt idx="0">
                  <c:v>247.00364999999999</c:v>
                </c:pt>
                <c:pt idx="1">
                  <c:v>271.05360999999999</c:v>
                </c:pt>
                <c:pt idx="2">
                  <c:v>295.12027999999998</c:v>
                </c:pt>
                <c:pt idx="3">
                  <c:v>324.67662000000001</c:v>
                </c:pt>
                <c:pt idx="4">
                  <c:v>356.99013000000002</c:v>
                </c:pt>
              </c:numCache>
            </c:numRef>
          </c:val>
        </c:ser>
        <c:ser>
          <c:idx val="2"/>
          <c:order val="2"/>
          <c:tx>
            <c:strRef>
              <c:f>Sheet1!$A$4</c:f>
              <c:strCache>
                <c:ptCount val="1"/>
                <c:pt idx="0">
                  <c:v>ВРП (вариант 2)</c:v>
                </c:pt>
              </c:strCache>
            </c:strRef>
          </c:tx>
          <c:spPr>
            <a:solidFill>
              <a:schemeClr val="tx2">
                <a:lumMod val="60000"/>
                <a:lumOff val="40000"/>
              </a:schemeClr>
            </a:solidFill>
          </c:spPr>
          <c:invertIfNegative val="0"/>
          <c:dLbls>
            <c:delete val="1"/>
          </c:dLbls>
          <c:cat>
            <c:strRef>
              <c:f>Sheet1!$B$1:$F$1</c:f>
              <c:strCache>
                <c:ptCount val="5"/>
                <c:pt idx="0">
                  <c:v>2013</c:v>
                </c:pt>
                <c:pt idx="1">
                  <c:v>2014 (оценка)</c:v>
                </c:pt>
                <c:pt idx="2">
                  <c:v>2015 (прогноз)</c:v>
                </c:pt>
                <c:pt idx="3">
                  <c:v>2016 (прогноз)</c:v>
                </c:pt>
                <c:pt idx="4">
                  <c:v>2017 (прогноз)</c:v>
                </c:pt>
              </c:strCache>
            </c:strRef>
          </c:cat>
          <c:val>
            <c:numRef>
              <c:f>Sheet1!$B$4:$F$4</c:f>
              <c:numCache>
                <c:formatCode>General</c:formatCode>
                <c:ptCount val="5"/>
                <c:pt idx="2" formatCode="0.00">
                  <c:v>299.38189</c:v>
                </c:pt>
                <c:pt idx="3" formatCode="0.00">
                  <c:v>334.06823000000003</c:v>
                </c:pt>
                <c:pt idx="4" formatCode="0.00">
                  <c:v>370.31128000000001</c:v>
                </c:pt>
              </c:numCache>
            </c:numRef>
          </c:val>
        </c:ser>
        <c:dLbls>
          <c:showLegendKey val="0"/>
          <c:showVal val="1"/>
          <c:showCatName val="0"/>
          <c:showSerName val="0"/>
          <c:showPercent val="0"/>
          <c:showBubbleSize val="0"/>
        </c:dLbls>
        <c:gapWidth val="46"/>
        <c:axId val="168329216"/>
        <c:axId val="168331136"/>
      </c:barChart>
      <c:lineChart>
        <c:grouping val="standard"/>
        <c:varyColors val="0"/>
        <c:ser>
          <c:idx val="1"/>
          <c:order val="1"/>
          <c:tx>
            <c:strRef>
              <c:f>Sheet1!$A$3</c:f>
              <c:strCache>
                <c:ptCount val="1"/>
                <c:pt idx="0">
                  <c:v>Темп роста ВРП (вариант 1)</c:v>
                </c:pt>
              </c:strCache>
            </c:strRef>
          </c:tx>
          <c:spPr>
            <a:ln>
              <a:solidFill>
                <a:srgbClr val="92D050"/>
              </a:solidFill>
            </a:ln>
          </c:spPr>
          <c:marker>
            <c:spPr>
              <a:solidFill>
                <a:srgbClr val="92D050"/>
              </a:solidFill>
              <a:ln>
                <a:solidFill>
                  <a:srgbClr val="92D050"/>
                </a:solidFill>
              </a:ln>
            </c:spPr>
          </c:marker>
          <c:dLbls>
            <c:delete val="1"/>
          </c:dLbls>
          <c:cat>
            <c:strRef>
              <c:f>Sheet1!$B$1:$F$1</c:f>
              <c:strCache>
                <c:ptCount val="5"/>
                <c:pt idx="0">
                  <c:v>2013</c:v>
                </c:pt>
                <c:pt idx="1">
                  <c:v>2014 (оценка)</c:v>
                </c:pt>
                <c:pt idx="2">
                  <c:v>2015 (прогноз)</c:v>
                </c:pt>
                <c:pt idx="3">
                  <c:v>2016 (прогноз)</c:v>
                </c:pt>
                <c:pt idx="4">
                  <c:v>2017 (прогноз)</c:v>
                </c:pt>
              </c:strCache>
            </c:strRef>
          </c:cat>
          <c:val>
            <c:numRef>
              <c:f>Sheet1!$B$3:$F$3</c:f>
              <c:numCache>
                <c:formatCode>0.00</c:formatCode>
                <c:ptCount val="5"/>
                <c:pt idx="0">
                  <c:v>98.55</c:v>
                </c:pt>
                <c:pt idx="1">
                  <c:v>102.81</c:v>
                </c:pt>
                <c:pt idx="2">
                  <c:v>102.87</c:v>
                </c:pt>
                <c:pt idx="3">
                  <c:v>103.66</c:v>
                </c:pt>
                <c:pt idx="4">
                  <c:v>103.61</c:v>
                </c:pt>
              </c:numCache>
            </c:numRef>
          </c:val>
          <c:smooth val="0"/>
        </c:ser>
        <c:ser>
          <c:idx val="3"/>
          <c:order val="3"/>
          <c:tx>
            <c:strRef>
              <c:f>Sheet1!$A$5</c:f>
              <c:strCache>
                <c:ptCount val="1"/>
                <c:pt idx="0">
                  <c:v>Темп роста ВРП (вариант 2)</c:v>
                </c:pt>
              </c:strCache>
            </c:strRef>
          </c:tx>
          <c:spPr>
            <a:ln>
              <a:solidFill>
                <a:srgbClr val="00B050"/>
              </a:solidFill>
            </a:ln>
          </c:spPr>
          <c:marker>
            <c:spPr>
              <a:noFill/>
              <a:ln w="21420">
                <a:solidFill>
                  <a:srgbClr val="00B050"/>
                </a:solidFill>
              </a:ln>
            </c:spPr>
          </c:marker>
          <c:dLbls>
            <c:delete val="1"/>
          </c:dLbls>
          <c:cat>
            <c:strRef>
              <c:f>Sheet1!$B$1:$F$1</c:f>
              <c:strCache>
                <c:ptCount val="5"/>
                <c:pt idx="0">
                  <c:v>2013</c:v>
                </c:pt>
                <c:pt idx="1">
                  <c:v>2014 (оценка)</c:v>
                </c:pt>
                <c:pt idx="2">
                  <c:v>2015 (прогноз)</c:v>
                </c:pt>
                <c:pt idx="3">
                  <c:v>2016 (прогноз)</c:v>
                </c:pt>
                <c:pt idx="4">
                  <c:v>2017 (прогноз)</c:v>
                </c:pt>
              </c:strCache>
            </c:strRef>
          </c:cat>
          <c:val>
            <c:numRef>
              <c:f>Sheet1!$B$5:$F$5</c:f>
              <c:numCache>
                <c:formatCode>General</c:formatCode>
                <c:ptCount val="5"/>
                <c:pt idx="2" formatCode="0.00">
                  <c:v>104.64</c:v>
                </c:pt>
                <c:pt idx="3" formatCode="0.00">
                  <c:v>105.38</c:v>
                </c:pt>
                <c:pt idx="4" formatCode="0.00">
                  <c:v>104.67</c:v>
                </c:pt>
              </c:numCache>
            </c:numRef>
          </c:val>
          <c:smooth val="0"/>
        </c:ser>
        <c:ser>
          <c:idx val="4"/>
          <c:order val="4"/>
          <c:tx>
            <c:strRef>
              <c:f>Sheet1!$A$6</c:f>
              <c:strCache>
                <c:ptCount val="1"/>
                <c:pt idx="0">
                  <c:v>Индекс-дефлятор ВРП (вариант 1)</c:v>
                </c:pt>
              </c:strCache>
            </c:strRef>
          </c:tx>
          <c:spPr>
            <a:ln>
              <a:solidFill>
                <a:schemeClr val="accent6">
                  <a:lumMod val="75000"/>
                </a:schemeClr>
              </a:solidFill>
            </a:ln>
          </c:spPr>
          <c:marker>
            <c:spPr>
              <a:ln w="18360">
                <a:solidFill>
                  <a:srgbClr val="F79646">
                    <a:lumMod val="75000"/>
                  </a:srgbClr>
                </a:solidFill>
              </a:ln>
            </c:spPr>
          </c:marker>
          <c:dLbls>
            <c:delete val="1"/>
          </c:dLbls>
          <c:cat>
            <c:strRef>
              <c:f>Sheet1!$B$1:$F$1</c:f>
              <c:strCache>
                <c:ptCount val="5"/>
                <c:pt idx="0">
                  <c:v>2013</c:v>
                </c:pt>
                <c:pt idx="1">
                  <c:v>2014 (оценка)</c:v>
                </c:pt>
                <c:pt idx="2">
                  <c:v>2015 (прогноз)</c:v>
                </c:pt>
                <c:pt idx="3">
                  <c:v>2016 (прогноз)</c:v>
                </c:pt>
                <c:pt idx="4">
                  <c:v>2017 (прогноз)</c:v>
                </c:pt>
              </c:strCache>
            </c:strRef>
          </c:cat>
          <c:val>
            <c:numRef>
              <c:f>Sheet1!$B$6:$F$6</c:f>
              <c:numCache>
                <c:formatCode>0.00</c:formatCode>
                <c:ptCount val="5"/>
                <c:pt idx="0">
                  <c:v>107.11</c:v>
                </c:pt>
                <c:pt idx="1">
                  <c:v>106.74</c:v>
                </c:pt>
                <c:pt idx="2">
                  <c:v>105.84</c:v>
                </c:pt>
                <c:pt idx="3">
                  <c:v>106.13</c:v>
                </c:pt>
                <c:pt idx="4">
                  <c:v>106.13</c:v>
                </c:pt>
              </c:numCache>
            </c:numRef>
          </c:val>
          <c:smooth val="0"/>
        </c:ser>
        <c:ser>
          <c:idx val="5"/>
          <c:order val="5"/>
          <c:tx>
            <c:strRef>
              <c:f>Sheet1!$A$7</c:f>
              <c:strCache>
                <c:ptCount val="1"/>
                <c:pt idx="0">
                  <c:v>Индекс-дефлятор ВРП (вариант 2)</c:v>
                </c:pt>
              </c:strCache>
            </c:strRef>
          </c:tx>
          <c:spPr>
            <a:ln>
              <a:solidFill>
                <a:srgbClr val="FF0000"/>
              </a:solidFill>
            </a:ln>
          </c:spPr>
          <c:marker>
            <c:spPr>
              <a:solidFill>
                <a:srgbClr val="FF0000"/>
              </a:solidFill>
            </c:spPr>
          </c:marker>
          <c:dLbls>
            <c:delete val="1"/>
          </c:dLbls>
          <c:cat>
            <c:strRef>
              <c:f>Sheet1!$B$1:$F$1</c:f>
              <c:strCache>
                <c:ptCount val="5"/>
                <c:pt idx="0">
                  <c:v>2013</c:v>
                </c:pt>
                <c:pt idx="1">
                  <c:v>2014 (оценка)</c:v>
                </c:pt>
                <c:pt idx="2">
                  <c:v>2015 (прогноз)</c:v>
                </c:pt>
                <c:pt idx="3">
                  <c:v>2016 (прогноз)</c:v>
                </c:pt>
                <c:pt idx="4">
                  <c:v>2017 (прогноз)</c:v>
                </c:pt>
              </c:strCache>
            </c:strRef>
          </c:cat>
          <c:val>
            <c:numRef>
              <c:f>Sheet1!$B$7:$F$7</c:f>
              <c:numCache>
                <c:formatCode>General</c:formatCode>
                <c:ptCount val="5"/>
                <c:pt idx="2" formatCode="0.00">
                  <c:v>105.55</c:v>
                </c:pt>
                <c:pt idx="3" formatCode="0.00">
                  <c:v>105.89</c:v>
                </c:pt>
                <c:pt idx="4" formatCode="0.00">
                  <c:v>105.91</c:v>
                </c:pt>
              </c:numCache>
            </c:numRef>
          </c:val>
          <c:smooth val="0"/>
        </c:ser>
        <c:dLbls>
          <c:showLegendKey val="0"/>
          <c:showVal val="1"/>
          <c:showCatName val="0"/>
          <c:showSerName val="0"/>
          <c:showPercent val="0"/>
          <c:showBubbleSize val="0"/>
        </c:dLbls>
        <c:marker val="1"/>
        <c:smooth val="0"/>
        <c:axId val="168332672"/>
        <c:axId val="168334848"/>
      </c:lineChart>
      <c:catAx>
        <c:axId val="168329216"/>
        <c:scaling>
          <c:orientation val="minMax"/>
        </c:scaling>
        <c:delete val="0"/>
        <c:axPos val="b"/>
        <c:numFmt formatCode="General" sourceLinked="1"/>
        <c:majorTickMark val="cross"/>
        <c:minorTickMark val="none"/>
        <c:tickLblPos val="nextTo"/>
        <c:txPr>
          <a:bodyPr rot="0" vert="horz"/>
          <a:lstStyle/>
          <a:p>
            <a:pPr>
              <a:defRPr/>
            </a:pPr>
            <a:endParaRPr lang="ru-RU"/>
          </a:p>
        </c:txPr>
        <c:crossAx val="168331136"/>
        <c:crossesAt val="20"/>
        <c:auto val="0"/>
        <c:lblAlgn val="ctr"/>
        <c:lblOffset val="100"/>
        <c:tickMarkSkip val="1"/>
        <c:noMultiLvlLbl val="0"/>
      </c:catAx>
      <c:valAx>
        <c:axId val="168331136"/>
        <c:scaling>
          <c:orientation val="minMax"/>
          <c:max val="500"/>
          <c:min val="220"/>
        </c:scaling>
        <c:delete val="0"/>
        <c:axPos val="l"/>
        <c:numFmt formatCode="0.00"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68329216"/>
        <c:crosses val="autoZero"/>
        <c:crossBetween val="between"/>
        <c:majorUnit val="40"/>
        <c:minorUnit val="10"/>
      </c:valAx>
      <c:catAx>
        <c:axId val="168332672"/>
        <c:scaling>
          <c:orientation val="minMax"/>
        </c:scaling>
        <c:delete val="1"/>
        <c:axPos val="b"/>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млрд. рублей</a:t>
                </a:r>
              </a:p>
            </c:rich>
          </c:tx>
          <c:layout>
            <c:manualLayout>
              <c:xMode val="edge"/>
              <c:yMode val="edge"/>
              <c:x val="8.832376814142251E-2"/>
              <c:y val="0.17900775432386912"/>
            </c:manualLayout>
          </c:layout>
          <c:overlay val="0"/>
        </c:title>
        <c:majorTickMark val="out"/>
        <c:minorTickMark val="none"/>
        <c:tickLblPos val="nextTo"/>
        <c:crossAx val="168334848"/>
        <c:crosses val="autoZero"/>
        <c:auto val="0"/>
        <c:lblAlgn val="ctr"/>
        <c:lblOffset val="100"/>
        <c:noMultiLvlLbl val="0"/>
      </c:catAx>
      <c:valAx>
        <c:axId val="168334848"/>
        <c:scaling>
          <c:orientation val="minMax"/>
          <c:max val="110"/>
          <c:min val="90"/>
        </c:scaling>
        <c:delete val="0"/>
        <c:axPos val="r"/>
        <c:title>
          <c:tx>
            <c:rich>
              <a:bodyPr rot="0" vert="wordArtVert"/>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проценты</a:t>
                </a:r>
              </a:p>
            </c:rich>
          </c:tx>
          <c:layout>
            <c:manualLayout>
              <c:xMode val="edge"/>
              <c:yMode val="edge"/>
              <c:x val="0.90317407226751523"/>
              <c:y val="0.10375678610206297"/>
            </c:manualLayout>
          </c:layout>
          <c:overlay val="0"/>
        </c:title>
        <c:numFmt formatCode="0.00" sourceLinked="1"/>
        <c:majorTickMark val="cross"/>
        <c:minorTickMark val="none"/>
        <c:tickLblPos val="nextTo"/>
        <c:txPr>
          <a:bodyPr rot="0" vert="horz"/>
          <a:lstStyle/>
          <a:p>
            <a:pPr>
              <a:defRPr b="1">
                <a:latin typeface="Times New Roman" pitchFamily="18" charset="0"/>
                <a:cs typeface="Times New Roman" pitchFamily="18" charset="0"/>
              </a:defRPr>
            </a:pPr>
            <a:endParaRPr lang="ru-RU"/>
          </a:p>
        </c:txPr>
        <c:crossAx val="168332672"/>
        <c:crosses val="max"/>
        <c:crossBetween val="between"/>
        <c:majorUnit val="10"/>
      </c:valAx>
      <c:dTable>
        <c:showHorzBorder val="1"/>
        <c:showVertBorder val="1"/>
        <c:showOutline val="1"/>
        <c:showKeys val="1"/>
        <c:spPr>
          <a:ln w="19050" cmpd="sng">
            <a:solidFill>
              <a:sysClr val="windowText" lastClr="000000"/>
            </a:solidFill>
          </a:ln>
        </c:spPr>
        <c:txPr>
          <a:bodyPr/>
          <a:lstStyle/>
          <a:p>
            <a:pPr rtl="0">
              <a:defRPr sz="771" b="1">
                <a:latin typeface="Times New Roman" pitchFamily="18" charset="0"/>
                <a:cs typeface="Times New Roman" pitchFamily="18" charset="0"/>
              </a:defRPr>
            </a:pPr>
            <a:endParaRPr lang="ru-RU"/>
          </a:p>
        </c:txPr>
      </c:dTable>
      <c:spPr>
        <a:gradFill flip="none" rotWithShape="1">
          <a:gsLst>
            <a:gs pos="0">
              <a:sysClr val="window" lastClr="FFFFFF">
                <a:lumMod val="95000"/>
              </a:sysClr>
            </a:gs>
            <a:gs pos="100000">
              <a:schemeClr val="accent1">
                <a:lumMod val="20000"/>
                <a:lumOff val="80000"/>
              </a:schemeClr>
            </a:gs>
          </a:gsLst>
          <a:lin ang="5400000" scaled="1"/>
          <a:tileRect/>
        </a:gradFill>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36729268064785E-2"/>
          <c:y val="3.2152855893013373E-2"/>
          <c:w val="0.4859411020224414"/>
          <c:h val="0.72894481939757527"/>
        </c:manualLayout>
      </c:layout>
      <c:barChart>
        <c:barDir val="col"/>
        <c:grouping val="clustered"/>
        <c:varyColors val="0"/>
        <c:ser>
          <c:idx val="0"/>
          <c:order val="0"/>
          <c:tx>
            <c:strRef>
              <c:f>Лист1!$B$1</c:f>
              <c:strCache>
                <c:ptCount val="1"/>
                <c:pt idx="0">
                  <c:v>Прирост инвестиций в основной капитал по России, процентов</c:v>
                </c:pt>
              </c:strCache>
            </c:strRef>
          </c:tx>
          <c:spPr>
            <a:gradFill>
              <a:gsLst>
                <a:gs pos="0">
                  <a:srgbClr val="5E9EFF">
                    <a:lumMod val="36000"/>
                  </a:srgbClr>
                </a:gs>
                <a:gs pos="39999">
                  <a:srgbClr val="85C2FF"/>
                </a:gs>
                <a:gs pos="70000">
                  <a:srgbClr val="C4D6EB"/>
                </a:gs>
                <a:gs pos="100000">
                  <a:srgbClr val="FFEBFA"/>
                </a:gs>
              </a:gsLst>
              <a:lin ang="5400000" scaled="0"/>
            </a:gradFill>
            <a:ln>
              <a:solidFill>
                <a:schemeClr val="accent2">
                  <a:shade val="95000"/>
                  <a:satMod val="105000"/>
                </a:schemeClr>
              </a:solidFill>
            </a:ln>
            <a:scene3d>
              <a:camera prst="orthographicFront"/>
              <a:lightRig rig="threePt" dir="t"/>
            </a:scene3d>
            <a:sp3d prstMaterial="flat">
              <a:bevelB prst="angle"/>
            </a:sp3d>
          </c:spPr>
          <c:invertIfNegative val="0"/>
          <c:dLbls>
            <c:dLbl>
              <c:idx val="0"/>
              <c:layout>
                <c:manualLayout>
                  <c:x val="-5.9970014992503746E-3"/>
                  <c:y val="0"/>
                </c:manualLayout>
              </c:layout>
              <c:showLegendKey val="0"/>
              <c:showVal val="1"/>
              <c:showCatName val="0"/>
              <c:showSerName val="0"/>
              <c:showPercent val="0"/>
              <c:showBubbleSize val="0"/>
            </c:dLbl>
            <c:dLbl>
              <c:idx val="3"/>
              <c:layout>
                <c:manualLayout>
                  <c:x val="-3.9980009995002497E-3"/>
                  <c:y val="0"/>
                </c:manualLayout>
              </c:layout>
              <c:showLegendKey val="0"/>
              <c:showVal val="1"/>
              <c:showCatName val="0"/>
              <c:showSerName val="0"/>
              <c:showPercent val="0"/>
              <c:showBubbleSize val="0"/>
            </c:dLbl>
            <c:spPr>
              <a:solidFill>
                <a:schemeClr val="accent1">
                  <a:lumMod val="20000"/>
                  <a:lumOff val="80000"/>
                </a:schemeClr>
              </a:solidFill>
              <a:ln>
                <a:solidFill>
                  <a:schemeClr val="tx2"/>
                </a:solidFill>
              </a:ln>
            </c:spPr>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2014 (оценка)</c:v>
                </c:pt>
                <c:pt idx="1">
                  <c:v>2015 (прогноз)</c:v>
                </c:pt>
                <c:pt idx="2">
                  <c:v>2016 (прогноз)</c:v>
                </c:pt>
                <c:pt idx="3">
                  <c:v>2017 (прогноз)</c:v>
                </c:pt>
              </c:strCache>
            </c:strRef>
          </c:cat>
          <c:val>
            <c:numRef>
              <c:f>Лист1!$B$2:$B$5</c:f>
              <c:numCache>
                <c:formatCode>General</c:formatCode>
                <c:ptCount val="4"/>
                <c:pt idx="0">
                  <c:v>-2.4000000000000057</c:v>
                </c:pt>
                <c:pt idx="1">
                  <c:v>2</c:v>
                </c:pt>
                <c:pt idx="2">
                  <c:v>1.6</c:v>
                </c:pt>
                <c:pt idx="3">
                  <c:v>2.9</c:v>
                </c:pt>
              </c:numCache>
            </c:numRef>
          </c:val>
        </c:ser>
        <c:ser>
          <c:idx val="1"/>
          <c:order val="1"/>
          <c:tx>
            <c:strRef>
              <c:f>Лист1!$C$1</c:f>
              <c:strCache>
                <c:ptCount val="1"/>
                <c:pt idx="0">
                  <c:v>Прирост инвестиций в основной капитал по Амурской области, процентов</c:v>
                </c:pt>
              </c:strCache>
            </c:strRef>
          </c:tx>
          <c:spPr>
            <a:gradFill>
              <a:gsLst>
                <a:gs pos="0">
                  <a:srgbClr val="000082"/>
                </a:gs>
                <a:gs pos="30000">
                  <a:srgbClr val="66008F"/>
                </a:gs>
                <a:gs pos="64999">
                  <a:srgbClr val="BA0066"/>
                </a:gs>
                <a:gs pos="89999">
                  <a:srgbClr val="FF0000"/>
                </a:gs>
                <a:gs pos="100000">
                  <a:srgbClr val="FF8200"/>
                </a:gs>
              </a:gsLst>
              <a:lin ang="5400000" scaled="0"/>
            </a:gradFill>
            <a:ln>
              <a:solidFill>
                <a:schemeClr val="accent2">
                  <a:shade val="95000"/>
                  <a:satMod val="105000"/>
                </a:schemeClr>
              </a:solidFill>
            </a:ln>
          </c:spPr>
          <c:invertIfNegative val="0"/>
          <c:dLbls>
            <c:dLbl>
              <c:idx val="0"/>
              <c:layout>
                <c:manualLayout>
                  <c:x val="0"/>
                  <c:y val="1.0840108401084011E-2"/>
                </c:manualLayout>
              </c:layout>
              <c:showLegendKey val="0"/>
              <c:showVal val="1"/>
              <c:showCatName val="0"/>
              <c:showSerName val="0"/>
              <c:showPercent val="0"/>
              <c:showBubbleSize val="0"/>
            </c:dLbl>
            <c:dLbl>
              <c:idx val="1"/>
              <c:layout>
                <c:manualLayout>
                  <c:x val="6.4724919093851136E-3"/>
                  <c:y val="0"/>
                </c:manualLayout>
              </c:layout>
              <c:showLegendKey val="0"/>
              <c:showVal val="1"/>
              <c:showCatName val="0"/>
              <c:showSerName val="0"/>
              <c:showPercent val="0"/>
              <c:showBubbleSize val="0"/>
            </c:dLbl>
            <c:dLbl>
              <c:idx val="2"/>
              <c:layout>
                <c:manualLayout>
                  <c:x val="1.1104526476919022E-2"/>
                  <c:y val="3.9683501100823936E-3"/>
                </c:manualLayout>
              </c:layout>
              <c:showLegendKey val="0"/>
              <c:showVal val="1"/>
              <c:showCatName val="0"/>
              <c:showSerName val="0"/>
              <c:showPercent val="0"/>
              <c:showBubbleSize val="0"/>
            </c:dLbl>
            <c:dLbl>
              <c:idx val="3"/>
              <c:layout>
                <c:manualLayout>
                  <c:x val="3.4255313288238504E-3"/>
                  <c:y val="3.9678779989899635E-3"/>
                </c:manualLayout>
              </c:layout>
              <c:showLegendKey val="0"/>
              <c:showVal val="1"/>
              <c:showCatName val="0"/>
              <c:showSerName val="0"/>
              <c:showPercent val="0"/>
              <c:showBubbleSize val="0"/>
            </c:dLbl>
            <c:dLbl>
              <c:idx val="4"/>
              <c:layout>
                <c:manualLayout>
                  <c:x val="1.2944983818770227E-2"/>
                  <c:y val="0"/>
                </c:manualLayout>
              </c:layout>
              <c:showLegendKey val="0"/>
              <c:showVal val="1"/>
              <c:showCatName val="0"/>
              <c:showSerName val="0"/>
              <c:showPercent val="0"/>
              <c:showBubbleSize val="0"/>
            </c:dLbl>
            <c:numFmt formatCode="#,##0.0" sourceLinked="0"/>
            <c:spPr>
              <a:solidFill>
                <a:schemeClr val="accent2">
                  <a:lumMod val="20000"/>
                  <a:lumOff val="80000"/>
                </a:schemeClr>
              </a:solidFill>
              <a:ln>
                <a:solidFill>
                  <a:schemeClr val="accent2">
                    <a:lumMod val="75000"/>
                  </a:schemeClr>
                </a:solidFill>
              </a:ln>
            </c:spPr>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2014 (оценка)</c:v>
                </c:pt>
                <c:pt idx="1">
                  <c:v>2015 (прогноз)</c:v>
                </c:pt>
                <c:pt idx="2">
                  <c:v>2016 (прогноз)</c:v>
                </c:pt>
                <c:pt idx="3">
                  <c:v>2017 (прогноз)</c:v>
                </c:pt>
              </c:strCache>
            </c:strRef>
          </c:cat>
          <c:val>
            <c:numRef>
              <c:f>Лист1!$C$2:$C$5</c:f>
              <c:numCache>
                <c:formatCode>General</c:formatCode>
                <c:ptCount val="4"/>
                <c:pt idx="0">
                  <c:v>-18.480000000000004</c:v>
                </c:pt>
                <c:pt idx="1">
                  <c:v>14.5</c:v>
                </c:pt>
                <c:pt idx="2">
                  <c:v>46.4</c:v>
                </c:pt>
                <c:pt idx="3">
                  <c:v>6.35</c:v>
                </c:pt>
              </c:numCache>
            </c:numRef>
          </c:val>
        </c:ser>
        <c:dLbls>
          <c:showLegendKey val="0"/>
          <c:showVal val="0"/>
          <c:showCatName val="0"/>
          <c:showSerName val="0"/>
          <c:showPercent val="0"/>
          <c:showBubbleSize val="0"/>
        </c:dLbls>
        <c:gapWidth val="150"/>
        <c:axId val="168393344"/>
        <c:axId val="168407424"/>
      </c:barChart>
      <c:lineChart>
        <c:grouping val="standard"/>
        <c:varyColors val="0"/>
        <c:ser>
          <c:idx val="2"/>
          <c:order val="2"/>
          <c:tx>
            <c:strRef>
              <c:f>Лист1!$D$1</c:f>
              <c:strCache>
                <c:ptCount val="1"/>
                <c:pt idx="0">
                  <c:v>Ввод в действие основных фондов в ценах соответствующих лет, млн. рублей</c:v>
                </c:pt>
              </c:strCache>
            </c:strRef>
          </c:tx>
          <c:dLbls>
            <c:dLbl>
              <c:idx val="1"/>
              <c:layout>
                <c:manualLayout>
                  <c:x val="-6.0949298813376483E-2"/>
                  <c:y val="-7.0436507936507936E-2"/>
                </c:manualLayout>
              </c:layout>
              <c:dLblPos val="r"/>
              <c:showLegendKey val="0"/>
              <c:showVal val="1"/>
              <c:showCatName val="0"/>
              <c:showSerName val="0"/>
              <c:showPercent val="0"/>
              <c:showBubbleSize val="0"/>
            </c:dLbl>
            <c:dLbl>
              <c:idx val="2"/>
              <c:layout>
                <c:manualLayout>
                  <c:x val="-8.8935689635497209E-2"/>
                  <c:y val="-4.6562256640996801E-2"/>
                </c:manualLayout>
              </c:layout>
              <c:dLblPos val="r"/>
              <c:showLegendKey val="0"/>
              <c:showVal val="1"/>
              <c:showCatName val="0"/>
              <c:showSerName val="0"/>
              <c:showPercent val="0"/>
              <c:showBubbleSize val="0"/>
            </c:dLbl>
            <c:dLbl>
              <c:idx val="3"/>
              <c:layout>
                <c:manualLayout>
                  <c:x val="-3.7912224989867273E-2"/>
                  <c:y val="-7.8057550498495332E-2"/>
                </c:manualLayout>
              </c:layout>
              <c:dLblPos val="r"/>
              <c:showLegendKey val="0"/>
              <c:showVal val="1"/>
              <c:showCatName val="0"/>
              <c:showSerName val="0"/>
              <c:showPercent val="0"/>
              <c:showBubbleSize val="0"/>
            </c:dLbl>
            <c:spPr>
              <a:solidFill>
                <a:schemeClr val="bg2"/>
              </a:solidFill>
              <a:ln>
                <a:solidFill>
                  <a:srgbClr val="92D050"/>
                </a:solidFill>
              </a:ln>
            </c:spPr>
            <c:txPr>
              <a:bodyPr/>
              <a:lstStyle/>
              <a:p>
                <a:pPr>
                  <a:defRPr b="1"/>
                </a:pPr>
                <a:endParaRPr lang="ru-RU"/>
              </a:p>
            </c:txPr>
            <c:dLblPos val="t"/>
            <c:showLegendKey val="0"/>
            <c:showVal val="1"/>
            <c:showCatName val="0"/>
            <c:showSerName val="0"/>
            <c:showPercent val="0"/>
            <c:showBubbleSize val="0"/>
            <c:showLeaderLines val="0"/>
          </c:dLbls>
          <c:cat>
            <c:strRef>
              <c:f>Лист1!$A$2:$A$5</c:f>
              <c:strCache>
                <c:ptCount val="4"/>
                <c:pt idx="0">
                  <c:v>2014 (оценка)</c:v>
                </c:pt>
                <c:pt idx="1">
                  <c:v>2015 (прогноз)</c:v>
                </c:pt>
                <c:pt idx="2">
                  <c:v>2016 (прогноз)</c:v>
                </c:pt>
                <c:pt idx="3">
                  <c:v>2017 (прогноз)</c:v>
                </c:pt>
              </c:strCache>
            </c:strRef>
          </c:cat>
          <c:val>
            <c:numRef>
              <c:f>Лист1!$D$2:$D$5</c:f>
              <c:numCache>
                <c:formatCode>0.0</c:formatCode>
                <c:ptCount val="4"/>
                <c:pt idx="0">
                  <c:v>16870</c:v>
                </c:pt>
                <c:pt idx="1">
                  <c:v>16900</c:v>
                </c:pt>
                <c:pt idx="2">
                  <c:v>20000</c:v>
                </c:pt>
                <c:pt idx="3">
                  <c:v>12515</c:v>
                </c:pt>
              </c:numCache>
            </c:numRef>
          </c:val>
          <c:smooth val="0"/>
        </c:ser>
        <c:dLbls>
          <c:showLegendKey val="0"/>
          <c:showVal val="0"/>
          <c:showCatName val="0"/>
          <c:showSerName val="0"/>
          <c:showPercent val="0"/>
          <c:showBubbleSize val="0"/>
        </c:dLbls>
        <c:marker val="1"/>
        <c:smooth val="0"/>
        <c:axId val="168419712"/>
        <c:axId val="168409344"/>
      </c:lineChart>
      <c:catAx>
        <c:axId val="168393344"/>
        <c:scaling>
          <c:orientation val="minMax"/>
        </c:scaling>
        <c:delete val="0"/>
        <c:axPos val="b"/>
        <c:majorTickMark val="out"/>
        <c:minorTickMark val="none"/>
        <c:tickLblPos val="low"/>
        <c:txPr>
          <a:bodyPr/>
          <a:lstStyle/>
          <a:p>
            <a:pPr>
              <a:defRPr b="1"/>
            </a:pPr>
            <a:endParaRPr lang="ru-RU"/>
          </a:p>
        </c:txPr>
        <c:crossAx val="168407424"/>
        <c:crosses val="autoZero"/>
        <c:auto val="1"/>
        <c:lblAlgn val="ctr"/>
        <c:lblOffset val="100"/>
        <c:noMultiLvlLbl val="0"/>
      </c:catAx>
      <c:valAx>
        <c:axId val="168407424"/>
        <c:scaling>
          <c:orientation val="minMax"/>
        </c:scaling>
        <c:delete val="0"/>
        <c:axPos val="l"/>
        <c:majorGridlines/>
        <c:title>
          <c:tx>
            <c:rich>
              <a:bodyPr rot="-5400000" vert="horz"/>
              <a:lstStyle/>
              <a:p>
                <a:pPr>
                  <a:defRPr b="1"/>
                </a:pPr>
                <a:r>
                  <a:rPr lang="ru-RU" b="1"/>
                  <a:t>процентов</a:t>
                </a:r>
              </a:p>
            </c:rich>
          </c:tx>
          <c:overlay val="0"/>
        </c:title>
        <c:numFmt formatCode="General" sourceLinked="1"/>
        <c:majorTickMark val="out"/>
        <c:minorTickMark val="none"/>
        <c:tickLblPos val="nextTo"/>
        <c:txPr>
          <a:bodyPr/>
          <a:lstStyle/>
          <a:p>
            <a:pPr>
              <a:defRPr b="1"/>
            </a:pPr>
            <a:endParaRPr lang="ru-RU"/>
          </a:p>
        </c:txPr>
        <c:crossAx val="168393344"/>
        <c:crosses val="autoZero"/>
        <c:crossBetween val="between"/>
        <c:majorUnit val="14"/>
      </c:valAx>
      <c:valAx>
        <c:axId val="168409344"/>
        <c:scaling>
          <c:orientation val="minMax"/>
        </c:scaling>
        <c:delete val="0"/>
        <c:axPos val="r"/>
        <c:title>
          <c:tx>
            <c:rich>
              <a:bodyPr rot="-5400000" vert="horz"/>
              <a:lstStyle/>
              <a:p>
                <a:pPr>
                  <a:defRPr b="1"/>
                </a:pPr>
                <a:r>
                  <a:rPr lang="ru-RU" b="1"/>
                  <a:t>млн. рублей</a:t>
                </a:r>
              </a:p>
            </c:rich>
          </c:tx>
          <c:overlay val="0"/>
        </c:title>
        <c:numFmt formatCode="0.0" sourceLinked="1"/>
        <c:majorTickMark val="out"/>
        <c:minorTickMark val="none"/>
        <c:tickLblPos val="nextTo"/>
        <c:txPr>
          <a:bodyPr/>
          <a:lstStyle/>
          <a:p>
            <a:pPr>
              <a:defRPr b="1"/>
            </a:pPr>
            <a:endParaRPr lang="ru-RU"/>
          </a:p>
        </c:txPr>
        <c:crossAx val="168419712"/>
        <c:crosses val="max"/>
        <c:crossBetween val="between"/>
        <c:majorUnit val="12000"/>
      </c:valAx>
      <c:catAx>
        <c:axId val="168419712"/>
        <c:scaling>
          <c:orientation val="minMax"/>
        </c:scaling>
        <c:delete val="1"/>
        <c:axPos val="b"/>
        <c:majorTickMark val="out"/>
        <c:minorTickMark val="none"/>
        <c:tickLblPos val="nextTo"/>
        <c:crossAx val="168409344"/>
        <c:crosses val="autoZero"/>
        <c:auto val="1"/>
        <c:lblAlgn val="ctr"/>
        <c:lblOffset val="100"/>
        <c:noMultiLvlLbl val="0"/>
      </c:catAx>
      <c:spPr>
        <a:noFill/>
      </c:spPr>
    </c:plotArea>
    <c:legend>
      <c:legendPos val="r"/>
      <c:layout>
        <c:manualLayout>
          <c:xMode val="edge"/>
          <c:yMode val="edge"/>
          <c:x val="0.69449838187702262"/>
          <c:y val="8.5253986108879243E-2"/>
          <c:w val="0.29255663430420714"/>
          <c:h val="0.66622636456157269"/>
        </c:manualLayout>
      </c:layout>
      <c:overlay val="0"/>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Экспорт (вариант 1</c:v>
                </c:pt>
              </c:strCache>
            </c:strRef>
          </c:tx>
          <c:spPr>
            <a:ln w="63500">
              <a:solidFill>
                <a:srgbClr val="FFC000"/>
              </a:solidFill>
            </a:ln>
          </c:spPr>
          <c:marker>
            <c:spPr>
              <a:solidFill>
                <a:srgbClr val="FFC000"/>
              </a:solidFill>
            </c:spPr>
          </c:marker>
          <c:cat>
            <c:strRef>
              <c:f>Лист1!$A$2:$A$6</c:f>
              <c:strCache>
                <c:ptCount val="5"/>
                <c:pt idx="0">
                  <c:v>2013</c:v>
                </c:pt>
                <c:pt idx="1">
                  <c:v>2014 (оценка)</c:v>
                </c:pt>
                <c:pt idx="2">
                  <c:v>2015 (прогноз)</c:v>
                </c:pt>
                <c:pt idx="3">
                  <c:v>2016 (прогноз)</c:v>
                </c:pt>
                <c:pt idx="4">
                  <c:v>2017 (прогноз)</c:v>
                </c:pt>
              </c:strCache>
            </c:strRef>
          </c:cat>
          <c:val>
            <c:numRef>
              <c:f>Лист1!$B$2:$B$6</c:f>
              <c:numCache>
                <c:formatCode>General</c:formatCode>
                <c:ptCount val="5"/>
                <c:pt idx="0">
                  <c:v>442.6</c:v>
                </c:pt>
                <c:pt idx="1">
                  <c:v>428.2</c:v>
                </c:pt>
                <c:pt idx="2">
                  <c:v>440.4</c:v>
                </c:pt>
                <c:pt idx="3">
                  <c:v>477.6</c:v>
                </c:pt>
                <c:pt idx="4">
                  <c:v>503.6</c:v>
                </c:pt>
              </c:numCache>
            </c:numRef>
          </c:val>
          <c:smooth val="0"/>
        </c:ser>
        <c:ser>
          <c:idx val="1"/>
          <c:order val="1"/>
          <c:tx>
            <c:strRef>
              <c:f>Лист1!$C$1</c:f>
              <c:strCache>
                <c:ptCount val="1"/>
                <c:pt idx="0">
                  <c:v>Экспорт (вариант 2)</c:v>
                </c:pt>
              </c:strCache>
            </c:strRef>
          </c:tx>
          <c:spPr>
            <a:ln w="38100">
              <a:solidFill>
                <a:srgbClr val="FF0000"/>
              </a:solidFill>
            </a:ln>
          </c:spPr>
          <c:cat>
            <c:strRef>
              <c:f>Лист1!$A$2:$A$6</c:f>
              <c:strCache>
                <c:ptCount val="5"/>
                <c:pt idx="0">
                  <c:v>2013</c:v>
                </c:pt>
                <c:pt idx="1">
                  <c:v>2014 (оценка)</c:v>
                </c:pt>
                <c:pt idx="2">
                  <c:v>2015 (прогноз)</c:v>
                </c:pt>
                <c:pt idx="3">
                  <c:v>2016 (прогноз)</c:v>
                </c:pt>
                <c:pt idx="4">
                  <c:v>2017 (прогноз)</c:v>
                </c:pt>
              </c:strCache>
            </c:strRef>
          </c:cat>
          <c:val>
            <c:numRef>
              <c:f>Лист1!$C$2:$C$6</c:f>
              <c:numCache>
                <c:formatCode>General</c:formatCode>
                <c:ptCount val="5"/>
                <c:pt idx="2">
                  <c:v>444.8</c:v>
                </c:pt>
                <c:pt idx="3">
                  <c:v>484.9</c:v>
                </c:pt>
                <c:pt idx="4">
                  <c:v>508.1</c:v>
                </c:pt>
              </c:numCache>
            </c:numRef>
          </c:val>
          <c:smooth val="0"/>
        </c:ser>
        <c:ser>
          <c:idx val="2"/>
          <c:order val="2"/>
          <c:tx>
            <c:strRef>
              <c:f>Лист1!$D$1</c:f>
              <c:strCache>
                <c:ptCount val="1"/>
                <c:pt idx="0">
                  <c:v>Импорт (вариант 1)</c:v>
                </c:pt>
              </c:strCache>
            </c:strRef>
          </c:tx>
          <c:spPr>
            <a:ln w="63500">
              <a:solidFill>
                <a:srgbClr val="00B0F0"/>
              </a:solidFill>
            </a:ln>
          </c:spPr>
          <c:marker>
            <c:spPr>
              <a:solidFill>
                <a:srgbClr val="00B0F0"/>
              </a:solidFill>
            </c:spPr>
          </c:marker>
          <c:cat>
            <c:strRef>
              <c:f>Лист1!$A$2:$A$6</c:f>
              <c:strCache>
                <c:ptCount val="5"/>
                <c:pt idx="0">
                  <c:v>2013</c:v>
                </c:pt>
                <c:pt idx="1">
                  <c:v>2014 (оценка)</c:v>
                </c:pt>
                <c:pt idx="2">
                  <c:v>2015 (прогноз)</c:v>
                </c:pt>
                <c:pt idx="3">
                  <c:v>2016 (прогноз)</c:v>
                </c:pt>
                <c:pt idx="4">
                  <c:v>2017 (прогноз)</c:v>
                </c:pt>
              </c:strCache>
            </c:strRef>
          </c:cat>
          <c:val>
            <c:numRef>
              <c:f>Лист1!$D$2:$D$6</c:f>
              <c:numCache>
                <c:formatCode>General</c:formatCode>
                <c:ptCount val="5"/>
                <c:pt idx="0">
                  <c:v>516.9</c:v>
                </c:pt>
                <c:pt idx="1">
                  <c:v>453.8</c:v>
                </c:pt>
                <c:pt idx="2">
                  <c:v>456</c:v>
                </c:pt>
                <c:pt idx="3">
                  <c:v>469.3</c:v>
                </c:pt>
                <c:pt idx="4">
                  <c:v>484.8</c:v>
                </c:pt>
              </c:numCache>
            </c:numRef>
          </c:val>
          <c:smooth val="0"/>
        </c:ser>
        <c:ser>
          <c:idx val="3"/>
          <c:order val="3"/>
          <c:tx>
            <c:strRef>
              <c:f>Лист1!$E$1</c:f>
              <c:strCache>
                <c:ptCount val="1"/>
                <c:pt idx="0">
                  <c:v>Импорт (вариант 2)</c:v>
                </c:pt>
              </c:strCache>
            </c:strRef>
          </c:tx>
          <c:spPr>
            <a:ln w="38100">
              <a:solidFill>
                <a:schemeClr val="tx1"/>
              </a:solidFill>
            </a:ln>
          </c:spPr>
          <c:marker>
            <c:spPr>
              <a:ln w="28575">
                <a:solidFill>
                  <a:srgbClr val="0070C0"/>
                </a:solidFill>
              </a:ln>
            </c:spPr>
          </c:marker>
          <c:cat>
            <c:strRef>
              <c:f>Лист1!$A$2:$A$6</c:f>
              <c:strCache>
                <c:ptCount val="5"/>
                <c:pt idx="0">
                  <c:v>2013</c:v>
                </c:pt>
                <c:pt idx="1">
                  <c:v>2014 (оценка)</c:v>
                </c:pt>
                <c:pt idx="2">
                  <c:v>2015 (прогноз)</c:v>
                </c:pt>
                <c:pt idx="3">
                  <c:v>2016 (прогноз)</c:v>
                </c:pt>
                <c:pt idx="4">
                  <c:v>2017 (прогноз)</c:v>
                </c:pt>
              </c:strCache>
            </c:strRef>
          </c:cat>
          <c:val>
            <c:numRef>
              <c:f>Лист1!$E$2:$E$6</c:f>
              <c:numCache>
                <c:formatCode>General</c:formatCode>
                <c:ptCount val="5"/>
                <c:pt idx="2">
                  <c:v>463</c:v>
                </c:pt>
                <c:pt idx="3">
                  <c:v>483.4</c:v>
                </c:pt>
                <c:pt idx="4">
                  <c:v>500.5</c:v>
                </c:pt>
              </c:numCache>
            </c:numRef>
          </c:val>
          <c:smooth val="0"/>
        </c:ser>
        <c:dLbls>
          <c:showLegendKey val="0"/>
          <c:showVal val="0"/>
          <c:showCatName val="0"/>
          <c:showSerName val="0"/>
          <c:showPercent val="0"/>
          <c:showBubbleSize val="0"/>
        </c:dLbls>
        <c:marker val="1"/>
        <c:smooth val="0"/>
        <c:axId val="172545920"/>
        <c:axId val="174587904"/>
      </c:lineChart>
      <c:catAx>
        <c:axId val="172545920"/>
        <c:scaling>
          <c:orientation val="minMax"/>
        </c:scaling>
        <c:delete val="0"/>
        <c:axPos val="b"/>
        <c:majorTickMark val="out"/>
        <c:minorTickMark val="none"/>
        <c:tickLblPos val="nextTo"/>
        <c:crossAx val="174587904"/>
        <c:crosses val="autoZero"/>
        <c:auto val="1"/>
        <c:lblAlgn val="ctr"/>
        <c:lblOffset val="100"/>
        <c:noMultiLvlLbl val="0"/>
      </c:catAx>
      <c:valAx>
        <c:axId val="174587904"/>
        <c:scaling>
          <c:orientation val="minMax"/>
          <c:max val="520"/>
          <c:min val="420"/>
        </c:scaling>
        <c:delete val="0"/>
        <c:axPos val="l"/>
        <c:majorGridlines>
          <c:spPr>
            <a:ln>
              <a:solidFill>
                <a:schemeClr val="bg2">
                  <a:lumMod val="90000"/>
                </a:schemeClr>
              </a:solidFill>
            </a:ln>
          </c:spPr>
        </c:majorGridlines>
        <c:title>
          <c:tx>
            <c:rich>
              <a:bodyPr rot="-5400000" vert="horz"/>
              <a:lstStyle/>
              <a:p>
                <a:pPr>
                  <a:defRPr/>
                </a:pPr>
                <a:r>
                  <a:rPr lang="ru-RU"/>
                  <a:t>млн. долларов США</a:t>
                </a:r>
              </a:p>
            </c:rich>
          </c:tx>
          <c:layout>
            <c:manualLayout>
              <c:xMode val="edge"/>
              <c:yMode val="edge"/>
              <c:x val="0.18622747985885652"/>
              <c:y val="0.14521907389313563"/>
            </c:manualLayout>
          </c:layout>
          <c:overlay val="0"/>
        </c:title>
        <c:numFmt formatCode="General" sourceLinked="1"/>
        <c:majorTickMark val="out"/>
        <c:minorTickMark val="none"/>
        <c:tickLblPos val="nextTo"/>
        <c:txPr>
          <a:bodyPr/>
          <a:lstStyle/>
          <a:p>
            <a:pPr>
              <a:defRPr b="1"/>
            </a:pPr>
            <a:endParaRPr lang="ru-RU"/>
          </a:p>
        </c:txPr>
        <c:crossAx val="172545920"/>
        <c:crosses val="autoZero"/>
        <c:crossBetween val="between"/>
        <c:majorUnit val="50"/>
      </c:valAx>
      <c:dTable>
        <c:showHorzBorder val="1"/>
        <c:showVertBorder val="1"/>
        <c:showOutline val="1"/>
        <c:showKeys val="1"/>
        <c:txPr>
          <a:bodyPr/>
          <a:lstStyle/>
          <a:p>
            <a:pPr rtl="0">
              <a:defRPr b="1"/>
            </a:pPr>
            <a:endParaRPr lang="ru-RU"/>
          </a:p>
        </c:txPr>
      </c:dTable>
      <c:spPr>
        <a:gradFill>
          <a:gsLst>
            <a:gs pos="0">
              <a:srgbClr val="8488C4">
                <a:lumMod val="0"/>
                <a:lumOff val="100000"/>
              </a:srgbClr>
            </a:gs>
            <a:gs pos="53000">
              <a:srgbClr val="D4DEFF">
                <a:lumMod val="33000"/>
                <a:lumOff val="67000"/>
              </a:srgbClr>
            </a:gs>
            <a:gs pos="73000">
              <a:srgbClr val="D4DEFF">
                <a:lumMod val="62000"/>
                <a:lumOff val="38000"/>
              </a:srgbClr>
            </a:gs>
            <a:gs pos="100000">
              <a:srgbClr val="96AB94"/>
            </a:gs>
          </a:gsLst>
          <a:lin ang="5400000" scaled="0"/>
        </a:gradFill>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accent5">
            <a:lumMod val="20000"/>
            <a:lumOff val="80000"/>
          </a:schemeClr>
        </a:solidFill>
      </c:spPr>
    </c:sideWall>
    <c:backWall>
      <c:thickness val="0"/>
      <c:spPr>
        <a:solidFill>
          <a:schemeClr val="accent5">
            <a:lumMod val="20000"/>
            <a:lumOff val="80000"/>
          </a:schemeClr>
        </a:solidFill>
      </c:spPr>
    </c:backWall>
    <c:plotArea>
      <c:layout>
        <c:manualLayout>
          <c:layoutTarget val="inner"/>
          <c:xMode val="edge"/>
          <c:yMode val="edge"/>
          <c:x val="8.3244078311474554E-2"/>
          <c:y val="1.9741462798433619E-2"/>
          <c:w val="0.89986144644092059"/>
          <c:h val="0.72392496809458451"/>
        </c:manualLayout>
      </c:layout>
      <c:bar3DChart>
        <c:barDir val="col"/>
        <c:grouping val="standard"/>
        <c:varyColors val="0"/>
        <c:ser>
          <c:idx val="0"/>
          <c:order val="0"/>
          <c:tx>
            <c:strRef>
              <c:f>Лист1!$B$1</c:f>
              <c:strCache>
                <c:ptCount val="1"/>
                <c:pt idx="0">
                  <c:v>2013 год (отчет)</c:v>
                </c:pt>
              </c:strCache>
            </c:strRef>
          </c:tx>
          <c:spPr>
            <a:solidFill>
              <a:srgbClr val="002060"/>
            </a:solidFill>
          </c:spPr>
          <c:invertIfNegative val="0"/>
          <c:dLbls>
            <c:dLbl>
              <c:idx val="0"/>
              <c:layout>
                <c:manualLayout>
                  <c:x val="-6.6666666666666463E-3"/>
                  <c:y val="0.28134556574923553"/>
                </c:manualLayout>
              </c:layout>
              <c:showLegendKey val="0"/>
              <c:showVal val="1"/>
              <c:showCatName val="0"/>
              <c:showSerName val="0"/>
              <c:showPercent val="0"/>
              <c:showBubbleSize val="0"/>
            </c:dLbl>
            <c:dLbl>
              <c:idx val="1"/>
              <c:layout>
                <c:manualLayout>
                  <c:x val="7.5465990480003556E-3"/>
                  <c:y val="0.21202854230377166"/>
                </c:manualLayout>
              </c:layout>
              <c:showLegendKey val="0"/>
              <c:showVal val="1"/>
              <c:showCatName val="0"/>
              <c:showSerName val="0"/>
              <c:showPercent val="0"/>
              <c:showBubbleSize val="0"/>
            </c:dLbl>
            <c:dLbl>
              <c:idx val="2"/>
              <c:layout>
                <c:manualLayout>
                  <c:x val="6.1633281972265025E-3"/>
                  <c:y val="0.10601427115188583"/>
                </c:manualLayout>
              </c:layout>
              <c:showLegendKey val="0"/>
              <c:showVal val="1"/>
              <c:showCatName val="0"/>
              <c:showSerName val="0"/>
              <c:showPercent val="0"/>
              <c:showBubbleSize val="0"/>
            </c:dLbl>
            <c:dLbl>
              <c:idx val="3"/>
              <c:layout>
                <c:manualLayout>
                  <c:x val="6.6667475502388092E-3"/>
                  <c:y val="9.7859327217125383E-2"/>
                </c:manualLayout>
              </c:layout>
              <c:showLegendKey val="0"/>
              <c:showVal val="1"/>
              <c:showCatName val="0"/>
              <c:showSerName val="0"/>
              <c:showPercent val="0"/>
              <c:showBubbleSize val="0"/>
            </c:dLbl>
            <c:dLbl>
              <c:idx val="4"/>
              <c:layout>
                <c:manualLayout>
                  <c:x val="4.4443905220630919E-3"/>
                  <c:y val="0.1060142711518859"/>
                </c:manualLayout>
              </c:layout>
              <c:showLegendKey val="0"/>
              <c:showVal val="1"/>
              <c:showCatName val="0"/>
              <c:showSerName val="0"/>
              <c:showPercent val="0"/>
              <c:showBubbleSize val="0"/>
            </c:dLbl>
            <c:dLbl>
              <c:idx val="5"/>
              <c:layout>
                <c:manualLayout>
                  <c:x val="6.6666666666666671E-3"/>
                  <c:y val="0.1019367991845056"/>
                </c:manualLayout>
              </c:layout>
              <c:showLegendKey val="0"/>
              <c:showVal val="1"/>
              <c:showCatName val="0"/>
              <c:showSerName val="0"/>
              <c:showPercent val="0"/>
              <c:showBubbleSize val="0"/>
            </c:dLbl>
            <c:spPr>
              <a:solidFill>
                <a:srgbClr val="9BBB59">
                  <a:lumMod val="40000"/>
                  <a:lumOff val="60000"/>
                </a:srgbClr>
              </a:solidFill>
            </c:spPr>
            <c:txPr>
              <a:bodyPr anchor="b" anchorCtr="1"/>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Лист1!$B$2:$B$7</c:f>
              <c:numCache>
                <c:formatCode>General</c:formatCode>
                <c:ptCount val="6"/>
                <c:pt idx="0">
                  <c:v>8067.7</c:v>
                </c:pt>
                <c:pt idx="1">
                  <c:v>8482.1</c:v>
                </c:pt>
                <c:pt idx="2">
                  <c:v>3611.3</c:v>
                </c:pt>
                <c:pt idx="3">
                  <c:v>2084.9</c:v>
                </c:pt>
                <c:pt idx="4">
                  <c:v>1692.6</c:v>
                </c:pt>
                <c:pt idx="5">
                  <c:v>1293.5999999999999</c:v>
                </c:pt>
              </c:numCache>
            </c:numRef>
          </c:val>
        </c:ser>
        <c:ser>
          <c:idx val="1"/>
          <c:order val="1"/>
          <c:tx>
            <c:strRef>
              <c:f>Лист1!$C$1</c:f>
              <c:strCache>
                <c:ptCount val="1"/>
                <c:pt idx="0">
                  <c:v>2014 год (ожид.исп.)</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c:spPr>
          <c:invertIfNegative val="0"/>
          <c:dLbls>
            <c:dLbl>
              <c:idx val="1"/>
              <c:layout>
                <c:manualLayout>
                  <c:x val="-1.6435541859270635E-2"/>
                  <c:y val="4.4852191641182468E-2"/>
                </c:manualLayout>
              </c:layout>
              <c:showLegendKey val="0"/>
              <c:showVal val="1"/>
              <c:showCatName val="0"/>
              <c:showSerName val="0"/>
              <c:showPercent val="0"/>
              <c:showBubbleSize val="0"/>
            </c:dLbl>
            <c:dLbl>
              <c:idx val="2"/>
              <c:layout>
                <c:manualLayout>
                  <c:x val="-1.6435541859270673E-2"/>
                  <c:y val="3.2619775739041797E-2"/>
                </c:manualLayout>
              </c:layout>
              <c:showLegendKey val="0"/>
              <c:showVal val="1"/>
              <c:showCatName val="0"/>
              <c:showSerName val="0"/>
              <c:showPercent val="0"/>
              <c:showBubbleSize val="0"/>
            </c:dLbl>
            <c:dLbl>
              <c:idx val="3"/>
              <c:layout>
                <c:manualLayout>
                  <c:x val="-2.2598870056497099E-2"/>
                  <c:y val="2.4464831804281346E-2"/>
                </c:manualLayout>
              </c:layout>
              <c:showLegendKey val="0"/>
              <c:showVal val="1"/>
              <c:showCatName val="0"/>
              <c:showSerName val="0"/>
              <c:showPercent val="0"/>
              <c:showBubbleSize val="0"/>
            </c:dLbl>
            <c:dLbl>
              <c:idx val="4"/>
              <c:layout>
                <c:manualLayout>
                  <c:x val="-1.8489984591679508E-2"/>
                  <c:y val="2.8542303771661569E-2"/>
                </c:manualLayout>
              </c:layout>
              <c:showLegendKey val="0"/>
              <c:showVal val="1"/>
              <c:showCatName val="0"/>
              <c:showSerName val="0"/>
              <c:showPercent val="0"/>
              <c:showBubbleSize val="0"/>
            </c:dLbl>
            <c:dLbl>
              <c:idx val="5"/>
              <c:layout>
                <c:manualLayout>
                  <c:x val="-1.6435541859270673E-2"/>
                  <c:y val="2.4464831804281346E-2"/>
                </c:manualLayout>
              </c:layout>
              <c:showLegendKey val="0"/>
              <c:showVal val="1"/>
              <c:showCatName val="0"/>
              <c:showSerName val="0"/>
              <c:showPercent val="0"/>
              <c:showBubbleSize val="0"/>
            </c:dLbl>
            <c:spPr>
              <a:solidFill>
                <a:srgbClr val="F79646">
                  <a:lumMod val="60000"/>
                  <a:lumOff val="40000"/>
                </a:srgbClr>
              </a:solidFill>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Лист1!$C$2:$C$7</c:f>
              <c:numCache>
                <c:formatCode>General</c:formatCode>
                <c:ptCount val="6"/>
                <c:pt idx="0">
                  <c:v>8318</c:v>
                </c:pt>
                <c:pt idx="1">
                  <c:v>10545.6</c:v>
                </c:pt>
                <c:pt idx="2">
                  <c:v>4716.6000000000004</c:v>
                </c:pt>
                <c:pt idx="3">
                  <c:v>1463.6</c:v>
                </c:pt>
                <c:pt idx="4">
                  <c:v>1769.8</c:v>
                </c:pt>
                <c:pt idx="5">
                  <c:v>1314.6</c:v>
                </c:pt>
              </c:numCache>
            </c:numRef>
          </c:val>
        </c:ser>
        <c:ser>
          <c:idx val="2"/>
          <c:order val="2"/>
          <c:tx>
            <c:strRef>
              <c:f>Лист1!$D$1</c:f>
              <c:strCache>
                <c:ptCount val="1"/>
                <c:pt idx="0">
                  <c:v>2015 год (прогноз)</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path path="circle">
                <a:fillToRect l="50000" t="50000" r="50000" b="50000"/>
              </a:path>
              <a:tileRect/>
            </a:gradFill>
          </c:spPr>
          <c:invertIfNegative val="0"/>
          <c:dLbls>
            <c:dLbl>
              <c:idx val="0"/>
              <c:layout>
                <c:manualLayout>
                  <c:x val="0"/>
                  <c:y val="-1.6309887869520898E-2"/>
                </c:manualLayout>
              </c:layout>
              <c:showLegendKey val="0"/>
              <c:showVal val="1"/>
              <c:showCatName val="0"/>
              <c:showSerName val="0"/>
              <c:showPercent val="0"/>
              <c:showBubbleSize val="0"/>
            </c:dLbl>
            <c:dLbl>
              <c:idx val="1"/>
              <c:layout>
                <c:manualLayout>
                  <c:x val="1.4381099126861838E-2"/>
                  <c:y val="0"/>
                </c:manualLayout>
              </c:layout>
              <c:showLegendKey val="0"/>
              <c:showVal val="1"/>
              <c:showCatName val="0"/>
              <c:showSerName val="0"/>
              <c:showPercent val="0"/>
              <c:showBubbleSize val="0"/>
            </c:dLbl>
            <c:dLbl>
              <c:idx val="2"/>
              <c:layout>
                <c:manualLayout>
                  <c:x val="2.0544427324088342E-3"/>
                  <c:y val="3.7376394592352274E-17"/>
                </c:manualLayout>
              </c:layout>
              <c:showLegendKey val="0"/>
              <c:showVal val="1"/>
              <c:showCatName val="0"/>
              <c:showSerName val="0"/>
              <c:showPercent val="0"/>
              <c:showBubbleSize val="0"/>
            </c:dLbl>
            <c:dLbl>
              <c:idx val="3"/>
              <c:layout>
                <c:manualLayout>
                  <c:x val="4.1087236976733842E-3"/>
                  <c:y val="-4.0774719673802246E-3"/>
                </c:manualLayout>
              </c:layout>
              <c:showLegendKey val="0"/>
              <c:showVal val="1"/>
              <c:showCatName val="0"/>
              <c:showSerName val="0"/>
              <c:showPercent val="0"/>
              <c:showBubbleSize val="0"/>
            </c:dLbl>
            <c:dLbl>
              <c:idx val="4"/>
              <c:layout>
                <c:manualLayout>
                  <c:x val="1.4381099126861838E-2"/>
                  <c:y val="-8.1549439347604492E-3"/>
                </c:manualLayout>
              </c:layout>
              <c:showLegendKey val="0"/>
              <c:showVal val="1"/>
              <c:showCatName val="0"/>
              <c:showSerName val="0"/>
              <c:showPercent val="0"/>
              <c:showBubbleSize val="0"/>
            </c:dLbl>
            <c:dLbl>
              <c:idx val="5"/>
              <c:layout>
                <c:manualLayout>
                  <c:x val="0"/>
                  <c:y val="-8.1549439347604492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Лист1!$D$2:$D$7</c:f>
              <c:numCache>
                <c:formatCode>General</c:formatCode>
                <c:ptCount val="6"/>
                <c:pt idx="0">
                  <c:v>8647.2999999999993</c:v>
                </c:pt>
                <c:pt idx="1">
                  <c:v>11108</c:v>
                </c:pt>
                <c:pt idx="2">
                  <c:v>5258.1</c:v>
                </c:pt>
                <c:pt idx="3">
                  <c:v>1565.1</c:v>
                </c:pt>
                <c:pt idx="4">
                  <c:v>1655.3</c:v>
                </c:pt>
                <c:pt idx="5">
                  <c:v>1388.5</c:v>
                </c:pt>
              </c:numCache>
            </c:numRef>
          </c:val>
        </c:ser>
        <c:ser>
          <c:idx val="3"/>
          <c:order val="3"/>
          <c:tx>
            <c:strRef>
              <c:f>Лист1!$E$1</c:f>
              <c:strCache>
                <c:ptCount val="1"/>
                <c:pt idx="0">
                  <c:v>Столбец1</c:v>
                </c:pt>
              </c:strCache>
            </c:strRef>
          </c:tx>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Лист1!$E$2:$E$7</c:f>
            </c:numRef>
          </c:val>
          <c:shape val="cone"/>
        </c:ser>
        <c:dLbls>
          <c:showLegendKey val="0"/>
          <c:showVal val="1"/>
          <c:showCatName val="0"/>
          <c:showSerName val="0"/>
          <c:showPercent val="0"/>
          <c:showBubbleSize val="0"/>
        </c:dLbls>
        <c:gapWidth val="150"/>
        <c:shape val="cylinder"/>
        <c:axId val="174647936"/>
        <c:axId val="174678400"/>
        <c:axId val="174610624"/>
      </c:bar3DChart>
      <c:catAx>
        <c:axId val="174647936"/>
        <c:scaling>
          <c:orientation val="minMax"/>
        </c:scaling>
        <c:delete val="0"/>
        <c:axPos val="b"/>
        <c:majorTickMark val="out"/>
        <c:minorTickMark val="none"/>
        <c:tickLblPos val="nextTo"/>
        <c:txPr>
          <a:bodyPr/>
          <a:lstStyle/>
          <a:p>
            <a:pPr>
              <a:defRPr sz="850" b="1">
                <a:latin typeface="Times New Roman" panose="02020603050405020304" pitchFamily="18" charset="0"/>
                <a:cs typeface="Times New Roman" panose="02020603050405020304" pitchFamily="18" charset="0"/>
              </a:defRPr>
            </a:pPr>
            <a:endParaRPr lang="ru-RU"/>
          </a:p>
        </c:txPr>
        <c:crossAx val="174678400"/>
        <c:crosses val="autoZero"/>
        <c:auto val="0"/>
        <c:lblAlgn val="ctr"/>
        <c:lblOffset val="100"/>
        <c:noMultiLvlLbl val="0"/>
      </c:catAx>
      <c:valAx>
        <c:axId val="174678400"/>
        <c:scaling>
          <c:orientation val="minMax"/>
        </c:scaling>
        <c:delete val="0"/>
        <c:axPos val="l"/>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74647936"/>
        <c:crosses val="autoZero"/>
        <c:crossBetween val="between"/>
      </c:valAx>
      <c:serAx>
        <c:axId val="174610624"/>
        <c:scaling>
          <c:orientation val="minMax"/>
        </c:scaling>
        <c:delete val="1"/>
        <c:axPos val="b"/>
        <c:majorTickMark val="out"/>
        <c:minorTickMark val="none"/>
        <c:tickLblPos val="nextTo"/>
        <c:crossAx val="174678400"/>
        <c:crosses val="autoZero"/>
      </c:serAx>
      <c:spPr>
        <a:ln>
          <a:noFill/>
        </a:ln>
      </c:spPr>
    </c:plotArea>
    <c:legend>
      <c:legendPos val="b"/>
      <c:layout>
        <c:manualLayout>
          <c:xMode val="edge"/>
          <c:yMode val="edge"/>
          <c:x val="0.1631711213294024"/>
          <c:y val="0.93490653117901545"/>
          <c:w val="0.67365775734119526"/>
          <c:h val="6.5093468820984532E-2"/>
        </c:manualLayout>
      </c:layout>
      <c:overlay val="0"/>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0.14761904761904762"/>
          <c:y val="0.30549450549450552"/>
          <c:w val="0.66349206349206347"/>
          <c:h val="0.36483516483516482"/>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5"/>
          <c:dPt>
            <c:idx val="0"/>
            <c:bubble3D val="0"/>
            <c:spPr>
              <a:solidFill>
                <a:srgbClr val="0000FF"/>
              </a:solidFill>
              <a:ln w="15875">
                <a:solidFill>
                  <a:srgbClr val="000000"/>
                </a:solidFill>
                <a:prstDash val="solid"/>
              </a:ln>
            </c:spPr>
          </c:dPt>
          <c:dPt>
            <c:idx val="1"/>
            <c:bubble3D val="0"/>
            <c:spPr>
              <a:gradFill flip="none" rotWithShape="1">
                <a:gsLst>
                  <a:gs pos="0">
                    <a:srgbClr val="00FF00">
                      <a:tint val="66000"/>
                      <a:satMod val="160000"/>
                    </a:srgbClr>
                  </a:gs>
                  <a:gs pos="50000">
                    <a:srgbClr val="00FF00">
                      <a:tint val="44500"/>
                      <a:satMod val="160000"/>
                    </a:srgbClr>
                  </a:gs>
                  <a:gs pos="100000">
                    <a:srgbClr val="00FF00">
                      <a:tint val="23500"/>
                      <a:satMod val="160000"/>
                    </a:srgbClr>
                  </a:gs>
                </a:gsLst>
                <a:lin ang="0" scaled="1"/>
                <a:tileRect/>
              </a:gra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gradFill rotWithShape="0">
                <a:gsLst>
                  <a:gs pos="0">
                    <a:srgbClr xmlns:mc="http://schemas.openxmlformats.org/markup-compatibility/2006" xmlns:a14="http://schemas.microsoft.com/office/drawing/2010/main" val="000000" mc:Ignorable="a14" a14:legacySpreadsheetColorIndex="45">
                      <a:gamma/>
                      <a:shade val="46275"/>
                      <a:invGamma/>
                    </a:srgbClr>
                  </a:gs>
                  <a:gs pos="50000">
                    <a:srgbClr xmlns:mc="http://schemas.openxmlformats.org/markup-compatibility/2006" xmlns:a14="http://schemas.microsoft.com/office/drawing/2010/main" val="FF99CC" mc:Ignorable="a14" a14:legacySpreadsheetColorIndex="45"/>
                  </a:gs>
                  <a:gs pos="100000">
                    <a:srgbClr xmlns:mc="http://schemas.openxmlformats.org/markup-compatibility/2006" xmlns:a14="http://schemas.microsoft.com/office/drawing/2010/main" val="000000" mc:Ignorable="a14" a14:legacySpreadsheetColorIndex="45">
                      <a:gamma/>
                      <a:shade val="46275"/>
                      <a:invGamma/>
                    </a:srgbClr>
                  </a:gs>
                </a:gsLst>
                <a:lin ang="5400000" scaled="1"/>
              </a:gradFill>
              <a:ln w="15875">
                <a:solidFill>
                  <a:srgbClr val="000000"/>
                </a:solidFill>
                <a:prstDash val="solid"/>
              </a:ln>
            </c:spPr>
          </c:dPt>
          <c:dPt>
            <c:idx val="4"/>
            <c:bubble3D val="0"/>
            <c:spPr>
              <a:solidFill>
                <a:srgbClr val="FF0000"/>
              </a:solidFill>
              <a:ln w="15875">
                <a:solidFill>
                  <a:srgbClr val="000000"/>
                </a:solidFill>
                <a:prstDash val="solid"/>
              </a:ln>
            </c:spPr>
          </c:dPt>
          <c:dPt>
            <c:idx val="5"/>
            <c:bubble3D val="0"/>
            <c:spPr>
              <a:solidFill>
                <a:srgbClr val="99CCFF"/>
              </a:solidFill>
              <a:ln w="15875">
                <a:solidFill>
                  <a:srgbClr val="000000"/>
                </a:solidFill>
                <a:prstDash val="solid"/>
              </a:ln>
            </c:spPr>
          </c:dPt>
          <c:dPt>
            <c:idx val="6"/>
            <c:bubble3D val="0"/>
            <c:spPr>
              <a:solidFill>
                <a:srgbClr val="00FFFF"/>
              </a:solidFill>
              <a:ln w="15875">
                <a:solidFill>
                  <a:srgbClr val="000000"/>
                </a:solidFill>
                <a:prstDash val="solid"/>
              </a:ln>
            </c:spPr>
          </c:dPt>
          <c:dPt>
            <c:idx val="7"/>
            <c:bubble3D val="0"/>
            <c:spPr>
              <a:solidFill>
                <a:srgbClr val="CCCCFF"/>
              </a:solidFill>
              <a:ln w="15875">
                <a:solidFill>
                  <a:srgbClr val="000000"/>
                </a:solidFill>
                <a:prstDash val="solid"/>
              </a:ln>
            </c:spPr>
          </c:dPt>
          <c:dPt>
            <c:idx val="8"/>
            <c:bubble3D val="0"/>
            <c:spPr>
              <a:solidFill>
                <a:srgbClr val="FFFF00"/>
              </a:solidFill>
              <a:ln w="15875">
                <a:solidFill>
                  <a:srgbClr val="000000"/>
                </a:solidFill>
                <a:prstDash val="solid"/>
              </a:ln>
            </c:spPr>
          </c:dPt>
          <c:dPt>
            <c:idx val="9"/>
            <c:bubble3D val="0"/>
            <c:spPr>
              <a:solidFill>
                <a:srgbClr val="FF00FF"/>
              </a:solidFill>
              <a:ln w="15875">
                <a:solidFill>
                  <a:srgbClr val="000000"/>
                </a:solidFill>
                <a:prstDash val="solid"/>
              </a:ln>
            </c:spPr>
          </c:dPt>
          <c:dPt>
            <c:idx val="10"/>
            <c:bubble3D val="0"/>
            <c:spPr>
              <a:solidFill>
                <a:srgbClr val="FF99CC"/>
              </a:solidFill>
              <a:ln w="15875">
                <a:solidFill>
                  <a:srgbClr val="000000"/>
                </a:solidFill>
                <a:prstDash val="solid"/>
              </a:ln>
            </c:spPr>
          </c:dPt>
          <c:dPt>
            <c:idx val="11"/>
            <c:bubble3D val="0"/>
            <c:spPr>
              <a:solidFill>
                <a:srgbClr val="99CC00"/>
              </a:solidFill>
              <a:ln w="15875">
                <a:solidFill>
                  <a:srgbClr val="000000"/>
                </a:solidFill>
                <a:prstDash val="solid"/>
              </a:ln>
            </c:spPr>
          </c:dPt>
          <c:dLbls>
            <c:dLbl>
              <c:idx val="0"/>
              <c:layout>
                <c:manualLayout>
                  <c:x val="-8.4893953473207148E-2"/>
                  <c:y val="-0.11840749122511705"/>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 на прибыль организаций;28,5%</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1"/>
              <c:layout>
                <c:manualLayout>
                  <c:x val="-7.1276796922123867E-2"/>
                  <c:y val="-0.11608327104807266"/>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 на доходы физических лиц; 36,6%</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2"/>
              <c:layout>
                <c:manualLayout>
                  <c:x val="-0.11617167419289987"/>
                  <c:y val="-0.16931181803000939"/>
                </c:manualLayout>
              </c:layout>
              <c:tx>
                <c:rich>
                  <a:bodyPr/>
                  <a:lstStyle/>
                  <a:p>
                    <a:pPr>
                      <a:defRPr sz="798" b="1" i="0" u="none" strike="noStrike" baseline="0">
                        <a:solidFill>
                          <a:srgbClr val="000000"/>
                        </a:solidFill>
                        <a:latin typeface="Times New Roman"/>
                        <a:ea typeface="Times New Roman"/>
                        <a:cs typeface="Times New Roman"/>
                      </a:defRPr>
                    </a:pPr>
                    <a:r>
                      <a:rPr lang="ru-RU"/>
                      <a:t>Акцизы; 5,7%</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3"/>
              <c:layout>
                <c:manualLayout>
                  <c:x val="-8.6861424930578888E-3"/>
                  <c:y val="-0.26551538601418634"/>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Налоги на совокупный доход; 4,8%</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4"/>
              <c:layout>
                <c:manualLayout>
                  <c:x val="-1.2989680637746363E-2"/>
                  <c:y val="-3.0664828170826092E-3"/>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 на имущество организаций; 14,3%</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5"/>
              <c:layout>
                <c:manualLayout>
                  <c:x val="0.10309879743292953"/>
                  <c:y val="7.8153918445899154E-2"/>
                </c:manualLayout>
              </c:layout>
              <c:tx>
                <c:rich>
                  <a:bodyPr/>
                  <a:lstStyle/>
                  <a:p>
                    <a:pPr>
                      <a:defRPr sz="798" b="1" i="0" u="none" strike="noStrike" baseline="0">
                        <a:solidFill>
                          <a:srgbClr val="000000"/>
                        </a:solidFill>
                        <a:latin typeface="Times New Roman"/>
                        <a:ea typeface="Times New Roman"/>
                        <a:cs typeface="Times New Roman"/>
                      </a:defRPr>
                    </a:pPr>
                    <a:r>
                      <a:rPr lang="ru-RU"/>
                      <a:t>Транспортный налог; 2,3%</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6"/>
              <c:layout>
                <c:manualLayout>
                  <c:x val="0.13362661189090494"/>
                  <c:y val="0.16373954411195471"/>
                </c:manualLayout>
              </c:layout>
              <c:tx>
                <c:rich>
                  <a:bodyPr/>
                  <a:lstStyle/>
                  <a:p>
                    <a:pPr>
                      <a:defRPr sz="798" b="1" i="0" u="none" strike="noStrike" baseline="0">
                        <a:solidFill>
                          <a:srgbClr val="000000"/>
                        </a:solidFill>
                        <a:latin typeface="Times New Roman"/>
                        <a:ea typeface="Times New Roman"/>
                        <a:cs typeface="Times New Roman"/>
                      </a:defRPr>
                    </a:pPr>
                    <a:r>
                      <a:rPr lang="ru-RU"/>
                      <a:t>Налоги за пользование природными ресурсами; 6,1%</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7"/>
              <c:layout>
                <c:manualLayout>
                  <c:x val="-8.7491237508354382E-3"/>
                  <c:y val="0.16863002227065629"/>
                </c:manualLayout>
              </c:layout>
              <c:tx>
                <c:rich>
                  <a:bodyPr/>
                  <a:lstStyle/>
                  <a:p>
                    <a:pPr>
                      <a:defRPr sz="798" b="1" i="0" u="none" strike="noStrike" baseline="0">
                        <a:solidFill>
                          <a:srgbClr val="000000"/>
                        </a:solidFill>
                        <a:latin typeface="Times New Roman"/>
                        <a:ea typeface="Times New Roman"/>
                        <a:cs typeface="Times New Roman"/>
                      </a:defRPr>
                    </a:pPr>
                    <a:r>
                      <a:rPr lang="ru-RU"/>
                      <a:t>Доходы от использования имущества; 0,2%</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8"/>
              <c:layout>
                <c:manualLayout>
                  <c:x val="-0.21497215022035285"/>
                  <c:y val="0.15983881347944753"/>
                </c:manualLayout>
              </c:layout>
              <c:tx>
                <c:rich>
                  <a:bodyPr/>
                  <a:lstStyle/>
                  <a:p>
                    <a:pPr>
                      <a:defRPr sz="798" b="1" i="0" u="none" strike="noStrike" baseline="0">
                        <a:solidFill>
                          <a:srgbClr val="000000"/>
                        </a:solidFill>
                        <a:latin typeface="Times New Roman"/>
                        <a:ea typeface="Times New Roman"/>
                        <a:cs typeface="Times New Roman"/>
                      </a:defRPr>
                    </a:pPr>
                    <a:r>
                      <a:rPr lang="ru-RU"/>
                      <a:t>Платежи при пользовании природными ресурсами; 0,6%</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9"/>
              <c:layout>
                <c:manualLayout>
                  <c:x val="-0.45152214668818569"/>
                  <c:y val="0.19187810549809539"/>
                </c:manualLayout>
              </c:layout>
              <c:tx>
                <c:rich>
                  <a:bodyPr/>
                  <a:lstStyle/>
                  <a:p>
                    <a:pPr>
                      <a:defRPr sz="798" b="1" i="0" u="none" strike="noStrike" baseline="0">
                        <a:solidFill>
                          <a:srgbClr val="000000"/>
                        </a:solidFill>
                        <a:latin typeface="Times New Roman"/>
                        <a:ea typeface="Times New Roman"/>
                        <a:cs typeface="Times New Roman"/>
                      </a:defRPr>
                    </a:pPr>
                    <a:r>
                      <a:rPr lang="ru-RU"/>
                      <a:t>Доходы от оказания платных услу;0,2%</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10"/>
              <c:delete val="1"/>
            </c:dLbl>
            <c:dLbl>
              <c:idx val="11"/>
              <c:layout>
                <c:manualLayout>
                  <c:x val="-0.42958608434815215"/>
                  <c:y val="-1.8073952157405503E-2"/>
                </c:manualLayout>
              </c:layout>
              <c:tx>
                <c:rich>
                  <a:bodyPr/>
                  <a:lstStyle/>
                  <a:p>
                    <a:pPr>
                      <a:defRPr sz="800" b="1"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Times New Roman" pitchFamily="18" charset="0"/>
                        <a:cs typeface="Times New Roman" pitchFamily="18" charset="0"/>
                      </a:rPr>
                      <a:t>Штрафы, санкции, возмещение ущерба; 0,7%</a:t>
                    </a:r>
                  </a:p>
                </c:rich>
              </c:tx>
              <c:spPr>
                <a:solidFill>
                  <a:srgbClr val="FFFFFF"/>
                </a:solidFill>
                <a:ln w="3168">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1821"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Sheet1!$B$1:$M$1</c:f>
              <c:strCache>
                <c:ptCount val="12"/>
                <c:pt idx="0">
                  <c:v>Налог на прибыль организаций</c:v>
                </c:pt>
                <c:pt idx="1">
                  <c:v>Налог на доходы физичексих лиц</c:v>
                </c:pt>
                <c:pt idx="2">
                  <c:v>Акцизы</c:v>
                </c:pt>
                <c:pt idx="3">
                  <c:v>Налоги на совокупный доход</c:v>
                </c:pt>
                <c:pt idx="4">
                  <c:v>Налог на имущество организаций</c:v>
                </c:pt>
                <c:pt idx="5">
                  <c:v>Транспортный налог</c:v>
                </c:pt>
                <c:pt idx="6">
                  <c:v>Налоги за пользование природными ресурсами</c:v>
                </c:pt>
                <c:pt idx="7">
                  <c:v>Доходы от использования имущества</c:v>
                </c:pt>
                <c:pt idx="8">
                  <c:v>Платежи при пользовании природными ресурсами</c:v>
                </c:pt>
                <c:pt idx="9">
                  <c:v>Доходы от оказания платных услуг</c:v>
                </c:pt>
                <c:pt idx="11">
                  <c:v>Штрафы, санкции, возмещение ущерба</c:v>
                </c:pt>
              </c:strCache>
            </c:strRef>
          </c:cat>
          <c:val>
            <c:numRef>
              <c:f>Sheet1!$B$2:$M$2</c:f>
              <c:numCache>
                <c:formatCode>General</c:formatCode>
                <c:ptCount val="12"/>
                <c:pt idx="0">
                  <c:v>28.5</c:v>
                </c:pt>
                <c:pt idx="1">
                  <c:v>36.6</c:v>
                </c:pt>
                <c:pt idx="2">
                  <c:v>5.7</c:v>
                </c:pt>
                <c:pt idx="3">
                  <c:v>4.8</c:v>
                </c:pt>
                <c:pt idx="4">
                  <c:v>14.3</c:v>
                </c:pt>
                <c:pt idx="5">
                  <c:v>2.2999999999999998</c:v>
                </c:pt>
                <c:pt idx="6">
                  <c:v>6.1</c:v>
                </c:pt>
                <c:pt idx="7">
                  <c:v>0.2</c:v>
                </c:pt>
                <c:pt idx="8">
                  <c:v>0.6</c:v>
                </c:pt>
                <c:pt idx="9">
                  <c:v>0.2</c:v>
                </c:pt>
                <c:pt idx="11">
                  <c:v>0.7</c:v>
                </c:pt>
              </c:numCache>
            </c:numRef>
          </c:val>
        </c:ser>
        <c:dLbls>
          <c:showLegendKey val="0"/>
          <c:showVal val="1"/>
          <c:showCatName val="1"/>
          <c:showSerName val="0"/>
          <c:showPercent val="0"/>
          <c:showBubbleSize val="0"/>
          <c:showLeaderLines val="1"/>
        </c:dLbls>
      </c:pie3DChart>
      <c:spPr>
        <a:gradFill rotWithShape="0">
          <a:gsLst>
            <a:gs pos="0">
              <a:srgbClr xmlns:mc="http://schemas.openxmlformats.org/markup-compatibility/2006" xmlns:a14="http://schemas.microsoft.com/office/drawing/2010/main" val="800000" mc:Ignorable="a14" a14:legacySpreadsheetColorIndex="16"/>
            </a:gs>
            <a:gs pos="100000">
              <a:srgbClr xmlns:mc="http://schemas.openxmlformats.org/markup-compatibility/2006" xmlns:a14="http://schemas.microsoft.com/office/drawing/2010/main" val="FFFFFF" mc:Ignorable="a14" a14:legacySpreadsheetColorIndex="16">
                <a:gamma/>
                <a:tint val="0"/>
                <a:invGamma/>
              </a:srgbClr>
            </a:gs>
          </a:gsLst>
          <a:path path="rect">
            <a:fillToRect l="50000" t="50000" r="50000" b="50000"/>
          </a:path>
        </a:gradFill>
        <a:ln w="12672">
          <a:noFill/>
          <a:prstDash val="solid"/>
        </a:ln>
      </c:spPr>
    </c:plotArea>
    <c:plotVisOnly val="1"/>
    <c:dispBlanksAs val="zero"/>
    <c:showDLblsOverMax val="0"/>
  </c:chart>
  <c:spPr>
    <a:noFill/>
    <a:ln w="25345">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0.27484</cdr:x>
      <cdr:y>0.6152</cdr:y>
    </cdr:from>
    <cdr:to>
      <cdr:x>0.52484</cdr:x>
      <cdr:y>0.72922</cdr:y>
    </cdr:to>
    <cdr:cxnSp macro="">
      <cdr:nvCxnSpPr>
        <cdr:cNvPr id="3" name="Прямая соединительная линия 2"/>
        <cdr:cNvCxnSpPr/>
      </cdr:nvCxnSpPr>
      <cdr:spPr>
        <a:xfrm xmlns:a="http://schemas.openxmlformats.org/drawingml/2006/main" flipV="1">
          <a:off x="1685925" y="2466968"/>
          <a:ext cx="1533496" cy="45720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0.27484</cdr:x>
      <cdr:y>0.6152</cdr:y>
    </cdr:from>
    <cdr:to>
      <cdr:x>0.52484</cdr:x>
      <cdr:y>0.72922</cdr:y>
    </cdr:to>
    <cdr:cxnSp macro="">
      <cdr:nvCxnSpPr>
        <cdr:cNvPr id="3" name="Прямая соединительная линия 2"/>
        <cdr:cNvCxnSpPr/>
      </cdr:nvCxnSpPr>
      <cdr:spPr>
        <a:xfrm xmlns:a="http://schemas.openxmlformats.org/drawingml/2006/main" flipV="1">
          <a:off x="1685925" y="2466968"/>
          <a:ext cx="1533496" cy="45720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0.41529</cdr:x>
      <cdr:y>0.10876</cdr:y>
    </cdr:from>
    <cdr:to>
      <cdr:x>0.59808</cdr:x>
      <cdr:y>0.11822</cdr:y>
    </cdr:to>
    <cdr:cxnSp macro="">
      <cdr:nvCxnSpPr>
        <cdr:cNvPr id="3" name="Прямая соединительная линия 2"/>
        <cdr:cNvCxnSpPr/>
      </cdr:nvCxnSpPr>
      <cdr:spPr>
        <a:xfrm xmlns:a="http://schemas.openxmlformats.org/drawingml/2006/main">
          <a:off x="2466975" y="438150"/>
          <a:ext cx="1085850" cy="3810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0.2822</cdr:x>
      <cdr:y>0.10263</cdr:y>
    </cdr:from>
    <cdr:to>
      <cdr:x>0.51951</cdr:x>
      <cdr:y>0.22105</cdr:y>
    </cdr:to>
    <cdr:cxnSp macro="">
      <cdr:nvCxnSpPr>
        <cdr:cNvPr id="3" name="Прямая соединительная линия 2"/>
        <cdr:cNvCxnSpPr/>
      </cdr:nvCxnSpPr>
      <cdr:spPr>
        <a:xfrm xmlns:a="http://schemas.openxmlformats.org/drawingml/2006/main" flipV="1">
          <a:off x="1676400" y="371475"/>
          <a:ext cx="1409700" cy="428625"/>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0.08338</cdr:x>
      <cdr:y>0.37632</cdr:y>
    </cdr:from>
    <cdr:to>
      <cdr:x>0.08819</cdr:x>
      <cdr:y>0.65263</cdr:y>
    </cdr:to>
    <cdr:cxnSp macro="">
      <cdr:nvCxnSpPr>
        <cdr:cNvPr id="5" name="Прямая соединительная линия 4"/>
        <cdr:cNvCxnSpPr/>
      </cdr:nvCxnSpPr>
      <cdr:spPr>
        <a:xfrm xmlns:a="http://schemas.openxmlformats.org/drawingml/2006/main" flipH="1">
          <a:off x="495300" y="1362075"/>
          <a:ext cx="28575" cy="1000125"/>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DA9A-C072-4B90-AFBD-B5791E50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27368</Words>
  <Characters>156001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2014-11-11T01:36:00Z</cp:lastPrinted>
  <dcterms:created xsi:type="dcterms:W3CDTF">2014-11-11T01:21:00Z</dcterms:created>
  <dcterms:modified xsi:type="dcterms:W3CDTF">2014-11-11T05:19:00Z</dcterms:modified>
</cp:coreProperties>
</file>